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96FD7" w:rsidRDefault="007E360C" w:rsidP="00496FD7">
      <w:pPr>
        <w:pStyle w:val="Title"/>
        <w:tabs>
          <w:tab w:val="center" w:pos="4818"/>
          <w:tab w:val="left" w:pos="6165"/>
        </w:tabs>
        <w:spacing w:after="240"/>
        <w:ind w:firstLine="0"/>
        <w:jc w:val="center"/>
        <w:rPr>
          <w:rFonts w:ascii="Times New Roman" w:hAnsi="Times New Roman"/>
          <w:sz w:val="24"/>
          <w:szCs w:val="24"/>
          <w:lang w:eastAsia="bg-BG"/>
        </w:rPr>
      </w:pPr>
      <w:bookmarkStart w:id="0" w:name="_Toc152769873"/>
      <w:bookmarkStart w:id="1" w:name="_Toc479775605"/>
      <w:bookmarkStart w:id="2" w:name="_Toc140150192"/>
      <w:r w:rsidRPr="00496FD7">
        <w:rPr>
          <w:rFonts w:ascii="Times New Roman" w:hAnsi="Times New Roman"/>
          <w:sz w:val="24"/>
          <w:szCs w:val="24"/>
          <w:lang w:eastAsia="bg-BG"/>
        </w:rPr>
        <w:t>ГЛАВА 3</w:t>
      </w:r>
      <w:bookmarkEnd w:id="0"/>
    </w:p>
    <w:p w:rsidR="007E360C" w:rsidRPr="00496FD7" w:rsidRDefault="007E360C" w:rsidP="00496FD7">
      <w:pPr>
        <w:pStyle w:val="Title"/>
        <w:tabs>
          <w:tab w:val="center" w:pos="4818"/>
          <w:tab w:val="left" w:pos="6165"/>
        </w:tabs>
        <w:spacing w:after="240"/>
        <w:ind w:firstLine="0"/>
        <w:jc w:val="center"/>
        <w:rPr>
          <w:rFonts w:ascii="Times New Roman" w:hAnsi="Times New Roman"/>
          <w:sz w:val="24"/>
          <w:szCs w:val="24"/>
          <w:lang w:eastAsia="bg-BG"/>
        </w:rPr>
      </w:pPr>
      <w:bookmarkStart w:id="3" w:name="_Toc152769874"/>
      <w:r w:rsidRPr="00496FD7">
        <w:rPr>
          <w:rFonts w:ascii="Times New Roman" w:hAnsi="Times New Roman"/>
          <w:sz w:val="24"/>
          <w:szCs w:val="24"/>
          <w:lang w:eastAsia="bg-BG"/>
        </w:rPr>
        <w:t>ПРОГРАМИРАНЕ</w:t>
      </w:r>
      <w:bookmarkEnd w:id="1"/>
      <w:bookmarkEnd w:id="2"/>
      <w:bookmarkEnd w:id="3"/>
    </w:p>
    <w:sdt>
      <w:sdtPr>
        <w:rPr>
          <w:rFonts w:ascii="Times New Roman" w:hAnsi="Times New Roman"/>
          <w:b w:val="0"/>
          <w:bCs w:val="0"/>
          <w:color w:val="auto"/>
          <w:sz w:val="24"/>
          <w:szCs w:val="20"/>
          <w:lang w:eastAsia="pl-PL"/>
        </w:rPr>
        <w:id w:val="2068144214"/>
        <w:docPartObj>
          <w:docPartGallery w:val="Table of Contents"/>
          <w:docPartUnique/>
        </w:docPartObj>
      </w:sdtPr>
      <w:sdtEndPr>
        <w:rPr>
          <w:noProof/>
        </w:rPr>
      </w:sdtEndPr>
      <w:sdtContent>
        <w:p w:rsidR="007E360C" w:rsidRPr="00496FD7" w:rsidRDefault="007E360C">
          <w:pPr>
            <w:pStyle w:val="TOCHeading"/>
            <w:rPr>
              <w:rFonts w:ascii="Times New Roman" w:hAnsi="Times New Roman"/>
            </w:rPr>
          </w:pPr>
        </w:p>
        <w:p w:rsidR="00CA3AC4" w:rsidRPr="00CA3AC4" w:rsidRDefault="007E360C">
          <w:pPr>
            <w:pStyle w:val="TOC1"/>
            <w:tabs>
              <w:tab w:val="right" w:leader="dot" w:pos="9627"/>
            </w:tabs>
            <w:rPr>
              <w:rFonts w:ascii="Times New Roman" w:eastAsiaTheme="minorEastAsia" w:hAnsi="Times New Roman"/>
              <w:b w:val="0"/>
              <w:bCs w:val="0"/>
              <w:noProof/>
              <w:sz w:val="22"/>
              <w:szCs w:val="22"/>
              <w:lang w:val="en-US" w:eastAsia="en-US"/>
            </w:rPr>
          </w:pPr>
          <w:r w:rsidRPr="00496FD7">
            <w:rPr>
              <w:rFonts w:ascii="Times New Roman" w:hAnsi="Times New Roman"/>
            </w:rPr>
            <w:fldChar w:fldCharType="begin"/>
          </w:r>
          <w:r w:rsidRPr="00496FD7">
            <w:rPr>
              <w:rFonts w:ascii="Times New Roman" w:hAnsi="Times New Roman"/>
            </w:rPr>
            <w:instrText xml:space="preserve"> TOC \o "1-3" \h \z \u </w:instrText>
          </w:r>
          <w:r w:rsidRPr="00496FD7">
            <w:rPr>
              <w:rFonts w:ascii="Times New Roman" w:hAnsi="Times New Roman"/>
            </w:rPr>
            <w:fldChar w:fldCharType="separate"/>
          </w:r>
          <w:hyperlink w:anchor="_Toc152769873" w:history="1">
            <w:r w:rsidR="00CA3AC4" w:rsidRPr="00CA3AC4">
              <w:rPr>
                <w:rStyle w:val="Hyperlink"/>
                <w:rFonts w:ascii="Times New Roman" w:hAnsi="Times New Roman"/>
                <w:noProof/>
                <w:lang w:eastAsia="bg-BG"/>
              </w:rPr>
              <w:t>ГЛАВА 3</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_Toc152769873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1</w:t>
            </w:r>
            <w:r w:rsidR="00CA3AC4" w:rsidRPr="00CA3AC4">
              <w:rPr>
                <w:rFonts w:ascii="Times New Roman" w:hAnsi="Times New Roman"/>
                <w:noProof/>
                <w:webHidden/>
              </w:rPr>
              <w:fldChar w:fldCharType="end"/>
            </w:r>
          </w:hyperlink>
        </w:p>
        <w:p w:rsidR="00CA3AC4" w:rsidRPr="00CA3AC4" w:rsidRDefault="00830F22">
          <w:pPr>
            <w:pStyle w:val="TOC1"/>
            <w:tabs>
              <w:tab w:val="right" w:leader="dot" w:pos="9627"/>
            </w:tabs>
            <w:rPr>
              <w:rFonts w:ascii="Times New Roman" w:eastAsiaTheme="minorEastAsia" w:hAnsi="Times New Roman"/>
              <w:b w:val="0"/>
              <w:bCs w:val="0"/>
              <w:noProof/>
              <w:sz w:val="22"/>
              <w:szCs w:val="22"/>
              <w:lang w:val="en-US" w:eastAsia="en-US"/>
            </w:rPr>
          </w:pPr>
          <w:hyperlink w:anchor="_Toc152769874" w:history="1">
            <w:r w:rsidR="00CA3AC4" w:rsidRPr="00CA3AC4">
              <w:rPr>
                <w:rStyle w:val="Hyperlink"/>
                <w:rFonts w:ascii="Times New Roman" w:hAnsi="Times New Roman"/>
                <w:noProof/>
                <w:lang w:eastAsia="bg-BG"/>
              </w:rPr>
              <w:t>ПРОГРАМИРАНЕ</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_Toc152769874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1</w:t>
            </w:r>
            <w:r w:rsidR="00CA3AC4" w:rsidRPr="00CA3AC4">
              <w:rPr>
                <w:rFonts w:ascii="Times New Roman" w:hAnsi="Times New Roman"/>
                <w:noProof/>
                <w:webHidden/>
              </w:rPr>
              <w:fldChar w:fldCharType="end"/>
            </w:r>
          </w:hyperlink>
        </w:p>
        <w:p w:rsidR="00CA3AC4" w:rsidRPr="00CA3AC4" w:rsidRDefault="00830F22">
          <w:pPr>
            <w:pStyle w:val="TOC2"/>
            <w:rPr>
              <w:rFonts w:eastAsiaTheme="minorEastAsia"/>
              <w:iCs w:val="0"/>
              <w:noProof/>
              <w:sz w:val="22"/>
              <w:szCs w:val="22"/>
              <w:lang w:val="en-US" w:eastAsia="en-US"/>
            </w:rPr>
          </w:pPr>
          <w:hyperlink w:anchor="_Toc152769875" w:history="1">
            <w:r w:rsidR="00CA3AC4" w:rsidRPr="00CA3AC4">
              <w:rPr>
                <w:rStyle w:val="Hyperlink"/>
                <w:noProof/>
              </w:rPr>
              <w:t>1.</w:t>
            </w:r>
            <w:r w:rsidR="00CA3AC4" w:rsidRPr="00CA3AC4">
              <w:rPr>
                <w:rFonts w:eastAsiaTheme="minorEastAsia"/>
                <w:iCs w:val="0"/>
                <w:noProof/>
                <w:sz w:val="22"/>
                <w:szCs w:val="22"/>
                <w:lang w:val="en-US" w:eastAsia="en-US"/>
              </w:rPr>
              <w:tab/>
            </w:r>
            <w:bookmarkStart w:id="4" w:name="_GoBack"/>
            <w:bookmarkEnd w:id="4"/>
            <w:r w:rsidR="00CA3AC4" w:rsidRPr="00CA3AC4">
              <w:rPr>
                <w:rStyle w:val="Hyperlink"/>
                <w:noProof/>
              </w:rPr>
              <w:t>ОБХВАТ НА ПОДКРЕПАТА ПО ПТС 2021-2027 г.</w:t>
            </w:r>
            <w:r w:rsidR="00CA3AC4" w:rsidRPr="00CA3AC4">
              <w:rPr>
                <w:noProof/>
                <w:webHidden/>
              </w:rPr>
              <w:tab/>
            </w:r>
            <w:r w:rsidR="00CA3AC4" w:rsidRPr="00CA3AC4">
              <w:rPr>
                <w:noProof/>
                <w:webHidden/>
              </w:rPr>
              <w:fldChar w:fldCharType="begin"/>
            </w:r>
            <w:r w:rsidR="00CA3AC4" w:rsidRPr="00CA3AC4">
              <w:rPr>
                <w:noProof/>
                <w:webHidden/>
              </w:rPr>
              <w:instrText xml:space="preserve"> PAGEREF _Toc152769875 \h </w:instrText>
            </w:r>
            <w:r w:rsidR="00CA3AC4" w:rsidRPr="00CA3AC4">
              <w:rPr>
                <w:noProof/>
                <w:webHidden/>
              </w:rPr>
            </w:r>
            <w:r w:rsidR="00CA3AC4" w:rsidRPr="00CA3AC4">
              <w:rPr>
                <w:noProof/>
                <w:webHidden/>
              </w:rPr>
              <w:fldChar w:fldCharType="separate"/>
            </w:r>
            <w:r w:rsidR="00CA3AC4" w:rsidRPr="00CA3AC4">
              <w:rPr>
                <w:noProof/>
                <w:webHidden/>
              </w:rPr>
              <w:t>2</w:t>
            </w:r>
            <w:r w:rsidR="00CA3AC4" w:rsidRPr="00CA3AC4">
              <w:rPr>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876" w:history="1">
            <w:r w:rsidR="00CA3AC4" w:rsidRPr="00CA3AC4">
              <w:rPr>
                <w:rStyle w:val="Hyperlink"/>
                <w:rFonts w:ascii="Times New Roman" w:hAnsi="Times New Roman"/>
                <w:noProof/>
              </w:rPr>
              <w:t>1.1.</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rPr>
              <w:t>Приоритети по ПТС 2021-2027 г.</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_Toc152769876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3</w:t>
            </w:r>
            <w:r w:rsidR="00CA3AC4" w:rsidRPr="00CA3AC4">
              <w:rPr>
                <w:rFonts w:ascii="Times New Roman" w:hAnsi="Times New Roman"/>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877" w:history="1">
            <w:r w:rsidR="00CA3AC4" w:rsidRPr="00CA3AC4">
              <w:rPr>
                <w:rStyle w:val="Hyperlink"/>
                <w:rFonts w:ascii="Times New Roman" w:hAnsi="Times New Roman"/>
                <w:noProof/>
              </w:rPr>
              <w:t>1.2.</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rPr>
              <w:t>Допустими дейности по ПТС 2021-2027 г.</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_Toc152769877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4</w:t>
            </w:r>
            <w:r w:rsidR="00CA3AC4" w:rsidRPr="00CA3AC4">
              <w:rPr>
                <w:rFonts w:ascii="Times New Roman" w:hAnsi="Times New Roman"/>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878" w:history="1">
            <w:r w:rsidR="00CA3AC4" w:rsidRPr="00CA3AC4">
              <w:rPr>
                <w:rStyle w:val="Hyperlink"/>
                <w:rFonts w:ascii="Times New Roman" w:hAnsi="Times New Roman"/>
                <w:noProof/>
              </w:rPr>
              <w:t>1.3.</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rPr>
              <w:t>Допустимост на разходите по ПТС 2021-2027 г.</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_Toc152769878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8</w:t>
            </w:r>
            <w:r w:rsidR="00CA3AC4" w:rsidRPr="00CA3AC4">
              <w:rPr>
                <w:rFonts w:ascii="Times New Roman" w:hAnsi="Times New Roman"/>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879" w:history="1">
            <w:r w:rsidR="00CA3AC4" w:rsidRPr="00CA3AC4">
              <w:rPr>
                <w:rStyle w:val="Hyperlink"/>
                <w:rFonts w:ascii="Times New Roman" w:hAnsi="Times New Roman"/>
                <w:noProof/>
              </w:rPr>
              <w:t>1.4.</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rPr>
              <w:t>Правила за изменение на ПТС 2021-2027 г.</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_Toc152769879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16</w:t>
            </w:r>
            <w:r w:rsidR="00CA3AC4" w:rsidRPr="00CA3AC4">
              <w:rPr>
                <w:rFonts w:ascii="Times New Roman" w:hAnsi="Times New Roman"/>
                <w:noProof/>
                <w:webHidden/>
              </w:rPr>
              <w:fldChar w:fldCharType="end"/>
            </w:r>
          </w:hyperlink>
        </w:p>
        <w:p w:rsidR="00CA3AC4" w:rsidRPr="00CA3AC4" w:rsidRDefault="00830F22">
          <w:pPr>
            <w:pStyle w:val="TOC2"/>
            <w:rPr>
              <w:rFonts w:eastAsiaTheme="minorEastAsia"/>
              <w:iCs w:val="0"/>
              <w:noProof/>
              <w:sz w:val="22"/>
              <w:szCs w:val="22"/>
              <w:lang w:val="en-US" w:eastAsia="en-US"/>
            </w:rPr>
          </w:pPr>
          <w:hyperlink w:anchor="_Toc152769880" w:history="1">
            <w:r w:rsidR="00CA3AC4" w:rsidRPr="00CA3AC4">
              <w:rPr>
                <w:rStyle w:val="Hyperlink"/>
                <w:noProof/>
              </w:rPr>
              <w:t>2.</w:t>
            </w:r>
            <w:r w:rsidR="00CA3AC4" w:rsidRPr="00CA3AC4">
              <w:rPr>
                <w:rFonts w:eastAsiaTheme="minorEastAsia"/>
                <w:iCs w:val="0"/>
                <w:noProof/>
                <w:sz w:val="22"/>
                <w:szCs w:val="22"/>
                <w:lang w:val="en-US" w:eastAsia="en-US"/>
              </w:rPr>
              <w:tab/>
            </w:r>
            <w:r w:rsidR="00CA3AC4" w:rsidRPr="00CA3AC4">
              <w:rPr>
                <w:rStyle w:val="Hyperlink"/>
                <w:noProof/>
              </w:rPr>
              <w:t>ИНДИКАТИВНА ГОДИШНА РАБОТНА ПРОГРАМА НА ПТС 2021-2027 Г.</w:t>
            </w:r>
            <w:r w:rsidR="00CA3AC4" w:rsidRPr="00CA3AC4">
              <w:rPr>
                <w:noProof/>
                <w:webHidden/>
              </w:rPr>
              <w:tab/>
            </w:r>
            <w:r w:rsidR="00CA3AC4" w:rsidRPr="00CA3AC4">
              <w:rPr>
                <w:noProof/>
                <w:webHidden/>
              </w:rPr>
              <w:fldChar w:fldCharType="begin"/>
            </w:r>
            <w:r w:rsidR="00CA3AC4" w:rsidRPr="00CA3AC4">
              <w:rPr>
                <w:noProof/>
                <w:webHidden/>
              </w:rPr>
              <w:instrText xml:space="preserve"> PAGEREF _Toc152769880 \h </w:instrText>
            </w:r>
            <w:r w:rsidR="00CA3AC4" w:rsidRPr="00CA3AC4">
              <w:rPr>
                <w:noProof/>
                <w:webHidden/>
              </w:rPr>
            </w:r>
            <w:r w:rsidR="00CA3AC4" w:rsidRPr="00CA3AC4">
              <w:rPr>
                <w:noProof/>
                <w:webHidden/>
              </w:rPr>
              <w:fldChar w:fldCharType="separate"/>
            </w:r>
            <w:r w:rsidR="00CA3AC4" w:rsidRPr="00CA3AC4">
              <w:rPr>
                <w:noProof/>
                <w:webHidden/>
              </w:rPr>
              <w:t>17</w:t>
            </w:r>
            <w:r w:rsidR="00CA3AC4" w:rsidRPr="00CA3AC4">
              <w:rPr>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881" w:history="1">
            <w:r w:rsidR="00CA3AC4" w:rsidRPr="00CA3AC4">
              <w:rPr>
                <w:rStyle w:val="Hyperlink"/>
                <w:rFonts w:ascii="Times New Roman" w:hAnsi="Times New Roman"/>
                <w:noProof/>
                <w:lang w:eastAsia="bg-BG"/>
              </w:rPr>
              <w:t>2.1.</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Процедура за изготвяне на Индикативната годишна програма</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_Toc152769881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18</w:t>
            </w:r>
            <w:r w:rsidR="00CA3AC4" w:rsidRPr="00CA3AC4">
              <w:rPr>
                <w:rFonts w:ascii="Times New Roman" w:hAnsi="Times New Roman"/>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882" w:history="1">
            <w:r w:rsidR="00CA3AC4" w:rsidRPr="00CA3AC4">
              <w:rPr>
                <w:rStyle w:val="Hyperlink"/>
                <w:rFonts w:ascii="Times New Roman" w:hAnsi="Times New Roman"/>
                <w:noProof/>
                <w:lang w:eastAsia="bg-BG"/>
              </w:rPr>
              <w:t>2.2.</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Процедура за изменение на Индикативната годишна работна програма</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_Toc152769882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19</w:t>
            </w:r>
            <w:r w:rsidR="00CA3AC4" w:rsidRPr="00CA3AC4">
              <w:rPr>
                <w:rFonts w:ascii="Times New Roman" w:hAnsi="Times New Roman"/>
                <w:noProof/>
                <w:webHidden/>
              </w:rPr>
              <w:fldChar w:fldCharType="end"/>
            </w:r>
          </w:hyperlink>
        </w:p>
        <w:p w:rsidR="00CA3AC4" w:rsidRPr="00CA3AC4" w:rsidRDefault="00830F22">
          <w:pPr>
            <w:pStyle w:val="TOC2"/>
            <w:rPr>
              <w:rFonts w:eastAsiaTheme="minorEastAsia"/>
              <w:iCs w:val="0"/>
              <w:noProof/>
              <w:sz w:val="22"/>
              <w:szCs w:val="22"/>
              <w:lang w:val="en-US" w:eastAsia="en-US"/>
            </w:rPr>
          </w:pPr>
          <w:hyperlink w:anchor="_Toc152769883" w:history="1">
            <w:r w:rsidR="00CA3AC4" w:rsidRPr="00CA3AC4">
              <w:rPr>
                <w:rStyle w:val="Hyperlink"/>
                <w:noProof/>
              </w:rPr>
              <w:t>3.</w:t>
            </w:r>
            <w:r w:rsidR="00CA3AC4" w:rsidRPr="00CA3AC4">
              <w:rPr>
                <w:rFonts w:eastAsiaTheme="minorEastAsia"/>
                <w:iCs w:val="0"/>
                <w:noProof/>
                <w:sz w:val="22"/>
                <w:szCs w:val="22"/>
                <w:lang w:val="en-US" w:eastAsia="en-US"/>
              </w:rPr>
              <w:tab/>
            </w:r>
            <w:r w:rsidR="00CA3AC4" w:rsidRPr="00CA3AC4">
              <w:rPr>
                <w:rStyle w:val="Hyperlink"/>
                <w:noProof/>
              </w:rPr>
              <w:t>ПОДГОТОВКА НА ПРОЕКТИ</w:t>
            </w:r>
            <w:r w:rsidR="00CA3AC4" w:rsidRPr="00CA3AC4">
              <w:rPr>
                <w:noProof/>
                <w:webHidden/>
              </w:rPr>
              <w:tab/>
            </w:r>
            <w:r w:rsidR="00CA3AC4" w:rsidRPr="00CA3AC4">
              <w:rPr>
                <w:noProof/>
                <w:webHidden/>
              </w:rPr>
              <w:fldChar w:fldCharType="begin"/>
            </w:r>
            <w:r w:rsidR="00CA3AC4" w:rsidRPr="00CA3AC4">
              <w:rPr>
                <w:noProof/>
                <w:webHidden/>
              </w:rPr>
              <w:instrText xml:space="preserve"> PAGEREF _Toc152769883 \h </w:instrText>
            </w:r>
            <w:r w:rsidR="00CA3AC4" w:rsidRPr="00CA3AC4">
              <w:rPr>
                <w:noProof/>
                <w:webHidden/>
              </w:rPr>
            </w:r>
            <w:r w:rsidR="00CA3AC4" w:rsidRPr="00CA3AC4">
              <w:rPr>
                <w:noProof/>
                <w:webHidden/>
              </w:rPr>
              <w:fldChar w:fldCharType="separate"/>
            </w:r>
            <w:r w:rsidR="00CA3AC4" w:rsidRPr="00CA3AC4">
              <w:rPr>
                <w:noProof/>
                <w:webHidden/>
              </w:rPr>
              <w:t>20</w:t>
            </w:r>
            <w:r w:rsidR="00CA3AC4" w:rsidRPr="00CA3AC4">
              <w:rPr>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884" w:history="1">
            <w:r w:rsidR="00CA3AC4" w:rsidRPr="00CA3AC4">
              <w:rPr>
                <w:rStyle w:val="Hyperlink"/>
                <w:rFonts w:ascii="Times New Roman" w:hAnsi="Times New Roman"/>
                <w:noProof/>
                <w:lang w:eastAsia="bg-BG"/>
              </w:rPr>
              <w:t>3.1.</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Цикъл на проекта</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_Toc152769884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20</w:t>
            </w:r>
            <w:r w:rsidR="00CA3AC4" w:rsidRPr="00CA3AC4">
              <w:rPr>
                <w:rFonts w:ascii="Times New Roman" w:hAnsi="Times New Roman"/>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885" w:history="1">
            <w:r w:rsidR="00CA3AC4" w:rsidRPr="00CA3AC4">
              <w:rPr>
                <w:rStyle w:val="Hyperlink"/>
                <w:rFonts w:ascii="Times New Roman" w:hAnsi="Times New Roman"/>
                <w:noProof/>
                <w:lang w:eastAsia="bg-BG"/>
              </w:rPr>
              <w:t>3.2.</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Обобщена схема за подготовка на проекти</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_Toc152769885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22</w:t>
            </w:r>
            <w:r w:rsidR="00CA3AC4" w:rsidRPr="00CA3AC4">
              <w:rPr>
                <w:rFonts w:ascii="Times New Roman" w:hAnsi="Times New Roman"/>
                <w:noProof/>
                <w:webHidden/>
              </w:rPr>
              <w:fldChar w:fldCharType="end"/>
            </w:r>
          </w:hyperlink>
        </w:p>
        <w:p w:rsidR="00CA3AC4" w:rsidRPr="00CA3AC4" w:rsidRDefault="00830F22">
          <w:pPr>
            <w:pStyle w:val="TOC2"/>
            <w:rPr>
              <w:rFonts w:eastAsiaTheme="minorEastAsia"/>
              <w:iCs w:val="0"/>
              <w:noProof/>
              <w:sz w:val="22"/>
              <w:szCs w:val="22"/>
              <w:lang w:val="en-US" w:eastAsia="en-US"/>
            </w:rPr>
          </w:pPr>
          <w:hyperlink w:anchor="_Toc152769886" w:history="1">
            <w:r w:rsidR="00CA3AC4" w:rsidRPr="00CA3AC4">
              <w:rPr>
                <w:rStyle w:val="Hyperlink"/>
                <w:noProof/>
              </w:rPr>
              <w:t>4.</w:t>
            </w:r>
            <w:r w:rsidR="00CA3AC4" w:rsidRPr="00CA3AC4">
              <w:rPr>
                <w:rFonts w:eastAsiaTheme="minorEastAsia"/>
                <w:iCs w:val="0"/>
                <w:noProof/>
                <w:sz w:val="22"/>
                <w:szCs w:val="22"/>
                <w:lang w:val="en-US" w:eastAsia="en-US"/>
              </w:rPr>
              <w:tab/>
            </w:r>
            <w:r w:rsidR="00CA3AC4" w:rsidRPr="00CA3AC4">
              <w:rPr>
                <w:rStyle w:val="Hyperlink"/>
                <w:noProof/>
              </w:rPr>
              <w:t>ОБЩИ ПОЛОЖЕНИЯ НА ПРОЦЕДУРАТА ПО ПРЕДОСТАВЯНЕ НА БФП</w:t>
            </w:r>
            <w:r w:rsidR="00CA3AC4" w:rsidRPr="00CA3AC4">
              <w:rPr>
                <w:noProof/>
                <w:webHidden/>
              </w:rPr>
              <w:tab/>
            </w:r>
            <w:r w:rsidR="00CA3AC4" w:rsidRPr="00CA3AC4">
              <w:rPr>
                <w:noProof/>
                <w:webHidden/>
              </w:rPr>
              <w:fldChar w:fldCharType="begin"/>
            </w:r>
            <w:r w:rsidR="00CA3AC4" w:rsidRPr="00CA3AC4">
              <w:rPr>
                <w:noProof/>
                <w:webHidden/>
              </w:rPr>
              <w:instrText xml:space="preserve"> PAGEREF _Toc152769886 \h </w:instrText>
            </w:r>
            <w:r w:rsidR="00CA3AC4" w:rsidRPr="00CA3AC4">
              <w:rPr>
                <w:noProof/>
                <w:webHidden/>
              </w:rPr>
            </w:r>
            <w:r w:rsidR="00CA3AC4" w:rsidRPr="00CA3AC4">
              <w:rPr>
                <w:noProof/>
                <w:webHidden/>
              </w:rPr>
              <w:fldChar w:fldCharType="separate"/>
            </w:r>
            <w:r w:rsidR="00CA3AC4" w:rsidRPr="00CA3AC4">
              <w:rPr>
                <w:noProof/>
                <w:webHidden/>
              </w:rPr>
              <w:t>23</w:t>
            </w:r>
            <w:r w:rsidR="00CA3AC4" w:rsidRPr="00CA3AC4">
              <w:rPr>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887" w:history="1">
            <w:r w:rsidR="00CA3AC4" w:rsidRPr="00CA3AC4">
              <w:rPr>
                <w:rStyle w:val="Hyperlink"/>
                <w:rFonts w:ascii="Times New Roman" w:hAnsi="Times New Roman"/>
                <w:noProof/>
                <w:lang w:eastAsia="bg-BG"/>
              </w:rPr>
              <w:t>4.1.</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Принцип на схема на процедурите за кандидатстване, оценка и предоставяне на безвъзмездна финансова помощ за изпълнение на проекти</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_Toc152769887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24</w:t>
            </w:r>
            <w:r w:rsidR="00CA3AC4" w:rsidRPr="00CA3AC4">
              <w:rPr>
                <w:rFonts w:ascii="Times New Roman" w:hAnsi="Times New Roman"/>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888" w:history="1">
            <w:r w:rsidR="00CA3AC4" w:rsidRPr="00CA3AC4">
              <w:rPr>
                <w:rStyle w:val="Hyperlink"/>
                <w:rFonts w:ascii="Times New Roman" w:hAnsi="Times New Roman"/>
                <w:noProof/>
                <w:lang w:eastAsia="bg-BG"/>
              </w:rPr>
              <w:t>4.2.</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Насоки по процедурите</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_Toc152769888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26</w:t>
            </w:r>
            <w:r w:rsidR="00CA3AC4" w:rsidRPr="00CA3AC4">
              <w:rPr>
                <w:rFonts w:ascii="Times New Roman" w:hAnsi="Times New Roman"/>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889" w:history="1">
            <w:r w:rsidR="00CA3AC4" w:rsidRPr="00CA3AC4">
              <w:rPr>
                <w:rStyle w:val="Hyperlink"/>
                <w:rFonts w:ascii="Times New Roman" w:hAnsi="Times New Roman"/>
                <w:noProof/>
                <w:lang w:eastAsia="bg-BG"/>
              </w:rPr>
              <w:t>4.3.</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Формуляри за кандидатстване</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_Toc152769889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28</w:t>
            </w:r>
            <w:r w:rsidR="00CA3AC4" w:rsidRPr="00CA3AC4">
              <w:rPr>
                <w:rFonts w:ascii="Times New Roman" w:hAnsi="Times New Roman"/>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890" w:history="1">
            <w:r w:rsidR="00CA3AC4" w:rsidRPr="00CA3AC4">
              <w:rPr>
                <w:rStyle w:val="Hyperlink"/>
                <w:rFonts w:ascii="Times New Roman" w:hAnsi="Times New Roman"/>
                <w:noProof/>
                <w:lang w:eastAsia="bg-BG"/>
              </w:rPr>
              <w:t>4.4.</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Прекратяване на процедурата за предоставяне на БФП</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_Toc152769890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30</w:t>
            </w:r>
            <w:r w:rsidR="00CA3AC4" w:rsidRPr="00CA3AC4">
              <w:rPr>
                <w:rFonts w:ascii="Times New Roman" w:hAnsi="Times New Roman"/>
                <w:noProof/>
                <w:webHidden/>
              </w:rPr>
              <w:fldChar w:fldCharType="end"/>
            </w:r>
          </w:hyperlink>
        </w:p>
        <w:p w:rsidR="00CA3AC4" w:rsidRPr="00CA3AC4" w:rsidRDefault="00830F22">
          <w:pPr>
            <w:pStyle w:val="TOC2"/>
            <w:rPr>
              <w:rFonts w:eastAsiaTheme="minorEastAsia"/>
              <w:iCs w:val="0"/>
              <w:noProof/>
              <w:sz w:val="22"/>
              <w:szCs w:val="22"/>
              <w:lang w:val="en-US" w:eastAsia="en-US"/>
            </w:rPr>
          </w:pPr>
          <w:hyperlink w:anchor="_Toc152769891" w:history="1">
            <w:r w:rsidR="00CA3AC4" w:rsidRPr="00CA3AC4">
              <w:rPr>
                <w:rStyle w:val="Hyperlink"/>
                <w:noProof/>
              </w:rPr>
              <w:t>5.</w:t>
            </w:r>
            <w:r w:rsidR="00CA3AC4" w:rsidRPr="00CA3AC4">
              <w:rPr>
                <w:rFonts w:eastAsiaTheme="minorEastAsia"/>
                <w:iCs w:val="0"/>
                <w:noProof/>
                <w:sz w:val="22"/>
                <w:szCs w:val="22"/>
                <w:lang w:val="en-US" w:eastAsia="en-US"/>
              </w:rPr>
              <w:tab/>
            </w:r>
            <w:r w:rsidR="00CA3AC4" w:rsidRPr="00CA3AC4">
              <w:rPr>
                <w:rStyle w:val="Hyperlink"/>
                <w:noProof/>
              </w:rPr>
              <w:t>ПРОЦЕС НА ОЦЕНКА НА ПРОЕКТНИ ПРЕДЛОЖЕНИЯ</w:t>
            </w:r>
            <w:r w:rsidR="00CA3AC4" w:rsidRPr="00CA3AC4">
              <w:rPr>
                <w:noProof/>
                <w:webHidden/>
              </w:rPr>
              <w:tab/>
            </w:r>
            <w:r w:rsidR="00CA3AC4" w:rsidRPr="00CA3AC4">
              <w:rPr>
                <w:noProof/>
                <w:webHidden/>
              </w:rPr>
              <w:fldChar w:fldCharType="begin"/>
            </w:r>
            <w:r w:rsidR="00CA3AC4" w:rsidRPr="00CA3AC4">
              <w:rPr>
                <w:noProof/>
                <w:webHidden/>
              </w:rPr>
              <w:instrText xml:space="preserve"> PAGEREF _Toc152769891 \h </w:instrText>
            </w:r>
            <w:r w:rsidR="00CA3AC4" w:rsidRPr="00CA3AC4">
              <w:rPr>
                <w:noProof/>
                <w:webHidden/>
              </w:rPr>
            </w:r>
            <w:r w:rsidR="00CA3AC4" w:rsidRPr="00CA3AC4">
              <w:rPr>
                <w:noProof/>
                <w:webHidden/>
              </w:rPr>
              <w:fldChar w:fldCharType="separate"/>
            </w:r>
            <w:r w:rsidR="00CA3AC4" w:rsidRPr="00CA3AC4">
              <w:rPr>
                <w:noProof/>
                <w:webHidden/>
              </w:rPr>
              <w:t>31</w:t>
            </w:r>
            <w:r w:rsidR="00CA3AC4" w:rsidRPr="00CA3AC4">
              <w:rPr>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892" w:history="1">
            <w:r w:rsidR="00CA3AC4" w:rsidRPr="00CA3AC4">
              <w:rPr>
                <w:rStyle w:val="Hyperlink"/>
                <w:rFonts w:ascii="Times New Roman" w:hAnsi="Times New Roman"/>
                <w:noProof/>
              </w:rPr>
              <w:t>5.1.</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rPr>
              <w:t>Общи положения при оценка на проектни предложения</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_Toc152769892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31</w:t>
            </w:r>
            <w:r w:rsidR="00CA3AC4" w:rsidRPr="00CA3AC4">
              <w:rPr>
                <w:rFonts w:ascii="Times New Roman" w:hAnsi="Times New Roman"/>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893" w:history="1">
            <w:r w:rsidR="00CA3AC4" w:rsidRPr="00CA3AC4">
              <w:rPr>
                <w:rStyle w:val="Hyperlink"/>
                <w:rFonts w:ascii="Times New Roman" w:hAnsi="Times New Roman"/>
                <w:noProof/>
              </w:rPr>
              <w:t>5.2.</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rPr>
              <w:t>Подаване на проектни предложения</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_Toc152769893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32</w:t>
            </w:r>
            <w:r w:rsidR="00CA3AC4" w:rsidRPr="00CA3AC4">
              <w:rPr>
                <w:rFonts w:ascii="Times New Roman" w:hAnsi="Times New Roman"/>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894" w:history="1">
            <w:r w:rsidR="00CA3AC4" w:rsidRPr="00CA3AC4">
              <w:rPr>
                <w:rStyle w:val="Hyperlink"/>
                <w:rFonts w:ascii="Times New Roman" w:hAnsi="Times New Roman"/>
                <w:noProof/>
                <w:lang w:eastAsia="bg-BG"/>
              </w:rPr>
              <w:t>5.3.</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Сформиране на оценителна комисия</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_Toc152769894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32</w:t>
            </w:r>
            <w:r w:rsidR="00CA3AC4" w:rsidRPr="00CA3AC4">
              <w:rPr>
                <w:rFonts w:ascii="Times New Roman" w:hAnsi="Times New Roman"/>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895" w:history="1">
            <w:r w:rsidR="00CA3AC4" w:rsidRPr="00CA3AC4">
              <w:rPr>
                <w:rStyle w:val="Hyperlink"/>
                <w:rFonts w:ascii="Times New Roman" w:hAnsi="Times New Roman"/>
                <w:noProof/>
                <w:lang w:eastAsia="bg-BG"/>
              </w:rPr>
              <w:t>5.4.</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Видове процедури при оценка на проектни предложения</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_Toc152769895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38</w:t>
            </w:r>
            <w:r w:rsidR="00CA3AC4" w:rsidRPr="00CA3AC4">
              <w:rPr>
                <w:rFonts w:ascii="Times New Roman" w:hAnsi="Times New Roman"/>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896" w:history="1">
            <w:r w:rsidR="00CA3AC4" w:rsidRPr="00CA3AC4">
              <w:rPr>
                <w:rStyle w:val="Hyperlink"/>
                <w:rFonts w:ascii="Times New Roman" w:hAnsi="Times New Roman"/>
                <w:noProof/>
              </w:rPr>
              <w:t>5.5.</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rPr>
              <w:t>Обобщена процедура за оценка на проектни предложения</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_Toc152769896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39</w:t>
            </w:r>
            <w:r w:rsidR="00CA3AC4" w:rsidRPr="00CA3AC4">
              <w:rPr>
                <w:rFonts w:ascii="Times New Roman" w:hAnsi="Times New Roman"/>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897" w:history="1">
            <w:r w:rsidR="00CA3AC4" w:rsidRPr="00CA3AC4">
              <w:rPr>
                <w:rStyle w:val="Hyperlink"/>
                <w:rFonts w:ascii="Times New Roman" w:hAnsi="Times New Roman"/>
                <w:noProof/>
              </w:rPr>
              <w:t>5.6.</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rPr>
              <w:t>Описание на процеса на оценка на проектни предложения</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_Toc152769897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41</w:t>
            </w:r>
            <w:r w:rsidR="00CA3AC4" w:rsidRPr="00CA3AC4">
              <w:rPr>
                <w:rFonts w:ascii="Times New Roman" w:hAnsi="Times New Roman"/>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898" w:history="1">
            <w:r w:rsidR="00CA3AC4" w:rsidRPr="00CA3AC4">
              <w:rPr>
                <w:rStyle w:val="Hyperlink"/>
                <w:rFonts w:ascii="Times New Roman" w:hAnsi="Times New Roman"/>
                <w:noProof/>
                <w:lang w:eastAsia="bg-BG"/>
              </w:rPr>
              <w:t>5.7.</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Процедура за оценка на инвестиционни проекти</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_Toc152769898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48</w:t>
            </w:r>
            <w:r w:rsidR="00CA3AC4" w:rsidRPr="00CA3AC4">
              <w:rPr>
                <w:rFonts w:ascii="Times New Roman" w:hAnsi="Times New Roman"/>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899" w:history="1">
            <w:r w:rsidR="00CA3AC4" w:rsidRPr="00CA3AC4">
              <w:rPr>
                <w:rStyle w:val="Hyperlink"/>
                <w:rFonts w:ascii="Times New Roman" w:hAnsi="Times New Roman"/>
                <w:noProof/>
                <w:lang w:eastAsia="bg-BG"/>
              </w:rPr>
              <w:t>5.8.</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Процедура за оценка на проектни предложения за техническа помощ, включително техническа помощ за подготовка на инвестиционни проекти</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_Toc152769899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53</w:t>
            </w:r>
            <w:r w:rsidR="00CA3AC4" w:rsidRPr="00CA3AC4">
              <w:rPr>
                <w:rFonts w:ascii="Times New Roman" w:hAnsi="Times New Roman"/>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900" w:history="1">
            <w:r w:rsidR="00CA3AC4" w:rsidRPr="00CA3AC4">
              <w:rPr>
                <w:rStyle w:val="Hyperlink"/>
                <w:rFonts w:ascii="Times New Roman" w:hAnsi="Times New Roman"/>
                <w:noProof/>
                <w:lang w:eastAsia="bg-BG"/>
              </w:rPr>
              <w:t>5.9.</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Процедура за оценка на бюджетна линия</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_Toc152769900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55</w:t>
            </w:r>
            <w:r w:rsidR="00CA3AC4" w:rsidRPr="00CA3AC4">
              <w:rPr>
                <w:rFonts w:ascii="Times New Roman" w:hAnsi="Times New Roman"/>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901" w:history="1">
            <w:r w:rsidR="00CA3AC4" w:rsidRPr="00CA3AC4">
              <w:rPr>
                <w:rStyle w:val="Hyperlink"/>
                <w:rFonts w:ascii="Times New Roman" w:hAnsi="Times New Roman"/>
                <w:noProof/>
                <w:lang w:eastAsia="bg-BG"/>
              </w:rPr>
              <w:t>5.10.</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Ревизиране на проектно предложение</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_Toc152769901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59</w:t>
            </w:r>
            <w:r w:rsidR="00CA3AC4" w:rsidRPr="00CA3AC4">
              <w:rPr>
                <w:rFonts w:ascii="Times New Roman" w:hAnsi="Times New Roman"/>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902" w:history="1">
            <w:r w:rsidR="00CA3AC4" w:rsidRPr="00CA3AC4">
              <w:rPr>
                <w:rStyle w:val="Hyperlink"/>
                <w:rFonts w:ascii="Times New Roman" w:hAnsi="Times New Roman"/>
                <w:noProof/>
                <w:lang w:eastAsia="bg-BG"/>
              </w:rPr>
              <w:t>5.11.</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Механизъм за избягване на двойно финансиране</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_Toc152769902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60</w:t>
            </w:r>
            <w:r w:rsidR="00CA3AC4" w:rsidRPr="00CA3AC4">
              <w:rPr>
                <w:rFonts w:ascii="Times New Roman" w:hAnsi="Times New Roman"/>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903" w:history="1">
            <w:r w:rsidR="00CA3AC4" w:rsidRPr="00CA3AC4">
              <w:rPr>
                <w:rStyle w:val="Hyperlink"/>
                <w:rFonts w:ascii="Times New Roman" w:hAnsi="Times New Roman"/>
                <w:noProof/>
                <w:lang w:eastAsia="bg-BG"/>
              </w:rPr>
              <w:t>5.12.</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Оценителни таблици</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_Toc152769903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61</w:t>
            </w:r>
            <w:r w:rsidR="00CA3AC4" w:rsidRPr="00CA3AC4">
              <w:rPr>
                <w:rFonts w:ascii="Times New Roman" w:hAnsi="Times New Roman"/>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904" w:history="1">
            <w:r w:rsidR="00CA3AC4" w:rsidRPr="00CA3AC4">
              <w:rPr>
                <w:rStyle w:val="Hyperlink"/>
                <w:rFonts w:ascii="Times New Roman" w:hAnsi="Times New Roman"/>
                <w:noProof/>
                <w:lang w:eastAsia="bg-BG"/>
              </w:rPr>
              <w:t>5.13.</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Доклад на оценителна комисия за извършена оценка на проектно предложение</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_Toc152769904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62</w:t>
            </w:r>
            <w:r w:rsidR="00CA3AC4" w:rsidRPr="00CA3AC4">
              <w:rPr>
                <w:rFonts w:ascii="Times New Roman" w:hAnsi="Times New Roman"/>
                <w:noProof/>
                <w:webHidden/>
              </w:rPr>
              <w:fldChar w:fldCharType="end"/>
            </w:r>
          </w:hyperlink>
        </w:p>
        <w:p w:rsidR="00CA3AC4" w:rsidRPr="00CA3AC4" w:rsidRDefault="00830F22">
          <w:pPr>
            <w:pStyle w:val="TOC2"/>
            <w:rPr>
              <w:rFonts w:eastAsiaTheme="minorEastAsia"/>
              <w:iCs w:val="0"/>
              <w:noProof/>
              <w:sz w:val="22"/>
              <w:szCs w:val="22"/>
              <w:lang w:val="en-US" w:eastAsia="en-US"/>
            </w:rPr>
          </w:pPr>
          <w:hyperlink w:anchor="_Toc152769905" w:history="1">
            <w:r w:rsidR="00CA3AC4" w:rsidRPr="00CA3AC4">
              <w:rPr>
                <w:rStyle w:val="Hyperlink"/>
                <w:noProof/>
              </w:rPr>
              <w:t>6.</w:t>
            </w:r>
            <w:r w:rsidR="00CA3AC4" w:rsidRPr="00CA3AC4">
              <w:rPr>
                <w:rFonts w:eastAsiaTheme="minorEastAsia"/>
                <w:iCs w:val="0"/>
                <w:noProof/>
                <w:sz w:val="22"/>
                <w:szCs w:val="22"/>
                <w:lang w:val="en-US" w:eastAsia="en-US"/>
              </w:rPr>
              <w:tab/>
            </w:r>
            <w:r w:rsidR="00CA3AC4" w:rsidRPr="00CA3AC4">
              <w:rPr>
                <w:rStyle w:val="Hyperlink"/>
                <w:noProof/>
              </w:rPr>
              <w:t>ПРЕДОСТАВЯНЕ НА БЕЗВЪЗМЕЗДНА ФИНАНСОВА ПОМОЩ</w:t>
            </w:r>
            <w:r w:rsidR="00CA3AC4" w:rsidRPr="00CA3AC4">
              <w:rPr>
                <w:noProof/>
                <w:webHidden/>
              </w:rPr>
              <w:tab/>
            </w:r>
            <w:r w:rsidR="00CA3AC4" w:rsidRPr="00CA3AC4">
              <w:rPr>
                <w:noProof/>
                <w:webHidden/>
              </w:rPr>
              <w:fldChar w:fldCharType="begin"/>
            </w:r>
            <w:r w:rsidR="00CA3AC4" w:rsidRPr="00CA3AC4">
              <w:rPr>
                <w:noProof/>
                <w:webHidden/>
              </w:rPr>
              <w:instrText xml:space="preserve"> PAGEREF _Toc152769905 \h </w:instrText>
            </w:r>
            <w:r w:rsidR="00CA3AC4" w:rsidRPr="00CA3AC4">
              <w:rPr>
                <w:noProof/>
                <w:webHidden/>
              </w:rPr>
            </w:r>
            <w:r w:rsidR="00CA3AC4" w:rsidRPr="00CA3AC4">
              <w:rPr>
                <w:noProof/>
                <w:webHidden/>
              </w:rPr>
              <w:fldChar w:fldCharType="separate"/>
            </w:r>
            <w:r w:rsidR="00CA3AC4" w:rsidRPr="00CA3AC4">
              <w:rPr>
                <w:noProof/>
                <w:webHidden/>
              </w:rPr>
              <w:t>65</w:t>
            </w:r>
            <w:r w:rsidR="00CA3AC4" w:rsidRPr="00CA3AC4">
              <w:rPr>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906" w:history="1">
            <w:r w:rsidR="00CA3AC4" w:rsidRPr="00CA3AC4">
              <w:rPr>
                <w:rStyle w:val="Hyperlink"/>
                <w:rFonts w:ascii="Times New Roman" w:hAnsi="Times New Roman"/>
                <w:noProof/>
              </w:rPr>
              <w:t>6.1.</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Вземане на Решение на Ръководителя на УО на ПТС за о</w:t>
            </w:r>
            <w:r w:rsidR="00CA3AC4" w:rsidRPr="00CA3AC4">
              <w:rPr>
                <w:rStyle w:val="Hyperlink"/>
                <w:rFonts w:ascii="Times New Roman" w:hAnsi="Times New Roman"/>
                <w:noProof/>
              </w:rPr>
              <w:t>добрение/ отхвърляне на проектно предложение</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_Toc152769906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65</w:t>
            </w:r>
            <w:r w:rsidR="00CA3AC4" w:rsidRPr="00CA3AC4">
              <w:rPr>
                <w:rFonts w:ascii="Times New Roman" w:hAnsi="Times New Roman"/>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907" w:history="1">
            <w:r w:rsidR="00CA3AC4" w:rsidRPr="00CA3AC4">
              <w:rPr>
                <w:rStyle w:val="Hyperlink"/>
                <w:rFonts w:ascii="Times New Roman" w:hAnsi="Times New Roman"/>
                <w:noProof/>
                <w:lang w:eastAsia="bg-BG"/>
              </w:rPr>
              <w:t>6.2.</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Административен договор/ Заповед за предоставяне на БФП</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_Toc152769907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66</w:t>
            </w:r>
            <w:r w:rsidR="00CA3AC4" w:rsidRPr="00CA3AC4">
              <w:rPr>
                <w:rFonts w:ascii="Times New Roman" w:hAnsi="Times New Roman"/>
                <w:noProof/>
                <w:webHidden/>
              </w:rPr>
              <w:fldChar w:fldCharType="end"/>
            </w:r>
          </w:hyperlink>
        </w:p>
        <w:p w:rsidR="00CA3AC4" w:rsidRPr="00CA3AC4" w:rsidRDefault="00830F22">
          <w:pPr>
            <w:pStyle w:val="TOC3"/>
            <w:rPr>
              <w:rFonts w:ascii="Times New Roman" w:eastAsiaTheme="minorEastAsia" w:hAnsi="Times New Roman"/>
              <w:noProof/>
              <w:sz w:val="22"/>
              <w:szCs w:val="22"/>
              <w:lang w:val="en-US" w:eastAsia="en-US"/>
            </w:rPr>
          </w:pPr>
          <w:hyperlink w:anchor="_Toc152769908" w:history="1">
            <w:r w:rsidR="00CA3AC4" w:rsidRPr="00CA3AC4">
              <w:rPr>
                <w:rStyle w:val="Hyperlink"/>
                <w:rFonts w:ascii="Times New Roman" w:hAnsi="Times New Roman"/>
                <w:noProof/>
                <w:lang w:eastAsia="bg-BG"/>
              </w:rPr>
              <w:t>6.3.</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Изменение на административен договор/заповед за предоставяне на безвъзмездна финансова помощ</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_Toc152769908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70</w:t>
            </w:r>
            <w:r w:rsidR="00CA3AC4" w:rsidRPr="00CA3AC4">
              <w:rPr>
                <w:rFonts w:ascii="Times New Roman" w:hAnsi="Times New Roman"/>
                <w:noProof/>
                <w:webHidden/>
              </w:rPr>
              <w:fldChar w:fldCharType="end"/>
            </w:r>
          </w:hyperlink>
        </w:p>
        <w:p w:rsidR="00CA3AC4" w:rsidRDefault="00830F22">
          <w:pPr>
            <w:pStyle w:val="TOC3"/>
            <w:rPr>
              <w:rFonts w:eastAsiaTheme="minorEastAsia" w:cstheme="minorBidi"/>
              <w:noProof/>
              <w:sz w:val="22"/>
              <w:szCs w:val="22"/>
              <w:lang w:val="en-US" w:eastAsia="en-US"/>
            </w:rPr>
          </w:pPr>
          <w:hyperlink w:anchor="_Toc152769909" w:history="1">
            <w:r w:rsidR="00CA3AC4" w:rsidRPr="00CA3AC4">
              <w:rPr>
                <w:rStyle w:val="Hyperlink"/>
                <w:rFonts w:ascii="Times New Roman" w:hAnsi="Times New Roman"/>
                <w:noProof/>
                <w:lang w:eastAsia="bg-BG"/>
              </w:rPr>
              <w:t>6.4.</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Приключване на Административен договор/Заповед за предоставяне на безвъзмездна финансова помощ</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_Toc152769909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74</w:t>
            </w:r>
            <w:r w:rsidR="00CA3AC4" w:rsidRPr="00CA3AC4">
              <w:rPr>
                <w:rFonts w:ascii="Times New Roman" w:hAnsi="Times New Roman"/>
                <w:noProof/>
                <w:webHidden/>
              </w:rPr>
              <w:fldChar w:fldCharType="end"/>
            </w:r>
          </w:hyperlink>
        </w:p>
        <w:p w:rsidR="007E360C" w:rsidRPr="00496FD7" w:rsidRDefault="007E360C">
          <w:r w:rsidRPr="00496FD7">
            <w:rPr>
              <w:b/>
              <w:bCs/>
              <w:noProof/>
            </w:rPr>
            <w:fldChar w:fldCharType="end"/>
          </w:r>
        </w:p>
      </w:sdtContent>
    </w:sdt>
    <w:p w:rsidR="007E360C" w:rsidRPr="00496FD7" w:rsidRDefault="007E360C" w:rsidP="007E360C">
      <w:pPr>
        <w:rPr>
          <w:lang w:eastAsia="bg-BG"/>
        </w:rPr>
      </w:pPr>
    </w:p>
    <w:p w:rsidR="007E360C" w:rsidRPr="00496FD7" w:rsidRDefault="007E360C" w:rsidP="007E360C">
      <w:r w:rsidRPr="00496FD7">
        <w:t>Основни фази, свързани с програмиране по ПТС са свързани с изготвяне, одобрение и изменения на ПТС; планиране, подготовка и изготвяне на проектно предложение; подаване, извършване на оценка и одобрение или отхвърляне на проектно предложение; предоставяне на БФП за изпълнение на проектното предложение.</w:t>
      </w:r>
    </w:p>
    <w:p w:rsidR="007E360C" w:rsidRPr="00496FD7" w:rsidRDefault="007E360C" w:rsidP="007E360C"/>
    <w:p w:rsidR="007E360C" w:rsidRPr="00496FD7" w:rsidRDefault="007E360C" w:rsidP="007E360C">
      <w:pPr>
        <w:pStyle w:val="Style1"/>
      </w:pPr>
      <w:bookmarkStart w:id="5" w:name="_Toc479775606"/>
      <w:bookmarkStart w:id="6" w:name="_Toc140150193"/>
      <w:bookmarkStart w:id="7" w:name="_Toc152769875"/>
      <w:r w:rsidRPr="00496FD7">
        <w:t>ОБХВАТ НА ПОДКРЕПАТА ПО ПТС 2021-2027 г.</w:t>
      </w:r>
      <w:bookmarkEnd w:id="5"/>
      <w:bookmarkEnd w:id="6"/>
      <w:bookmarkEnd w:id="7"/>
    </w:p>
    <w:p w:rsidR="007E360C" w:rsidRPr="00496FD7" w:rsidRDefault="007E360C" w:rsidP="007E360C">
      <w:pPr>
        <w:rPr>
          <w:lang w:eastAsia="bg-BG"/>
        </w:rPr>
      </w:pPr>
      <w:r w:rsidRPr="00496FD7">
        <w:rPr>
          <w:lang w:eastAsia="bg-BG"/>
        </w:rPr>
        <w:t>Идентифицирани са следните цели на политиката (ЦП), за реализацията на които ПТС ще допринесе:</w:t>
      </w:r>
    </w:p>
    <w:p w:rsidR="007E360C" w:rsidRPr="00496FD7" w:rsidRDefault="007E360C" w:rsidP="007E360C">
      <w:pPr>
        <w:rPr>
          <w:lang w:eastAsia="bg-BG"/>
        </w:rPr>
      </w:pPr>
      <w:r w:rsidRPr="00496FD7">
        <w:rPr>
          <w:lang w:eastAsia="bg-BG"/>
        </w:rPr>
        <w:t>- ЦП 3 „По-добре свързана Европа чрез подобряване на мобилността“ със специфична цел: 3.1 „Развитие на  устойчива на изменението на климата, интелигентна, сигурна, стабилна и интермодална TEN-T“.</w:t>
      </w:r>
    </w:p>
    <w:p w:rsidR="007E360C" w:rsidRPr="00496FD7" w:rsidRDefault="007E360C" w:rsidP="007E360C">
      <w:pPr>
        <w:rPr>
          <w:lang w:eastAsia="bg-BG"/>
        </w:rPr>
      </w:pPr>
      <w:r w:rsidRPr="00496FD7">
        <w:rPr>
          <w:lang w:eastAsia="bg-BG"/>
        </w:rPr>
        <w:t>- ЦП 2 „По-зелена, нисковъглеродна и устойчива Европа с икономика в преход към нулеви нетни въглеродни емисии чрез насърчаване на чист и справедлив енергиен преход, зелени и сини инвестиции, кръгова икономика, смекчаване на последиците от изменението на климата и адаптиране към него, превенция и управление на риска и устойчива градска мобилност“ със специфична цел: 2.8 „Насърчаване на устойчива мултимодална градска мобилност като част от прехода към икономика с нулеви нетни въглеродни емисии“.</w:t>
      </w:r>
    </w:p>
    <w:p w:rsidR="007E360C" w:rsidRPr="00496FD7" w:rsidRDefault="007E360C" w:rsidP="007E360C">
      <w:pPr>
        <w:rPr>
          <w:lang w:eastAsia="bg-BG"/>
        </w:rPr>
      </w:pPr>
      <w:r w:rsidRPr="00496FD7">
        <w:rPr>
          <w:lang w:eastAsia="bg-BG"/>
        </w:rPr>
        <w:t>Формулираните приоритети по ЦП 3 по програмата са:</w:t>
      </w:r>
    </w:p>
    <w:p w:rsidR="007E360C" w:rsidRPr="00496FD7" w:rsidRDefault="007E360C" w:rsidP="007E360C">
      <w:pPr>
        <w:rPr>
          <w:lang w:eastAsia="bg-BG"/>
        </w:rPr>
      </w:pPr>
      <w:r w:rsidRPr="00496FD7">
        <w:rPr>
          <w:lang w:eastAsia="bg-BG"/>
        </w:rPr>
        <w:t>1 „Развитие на железопътната инфраструктура по „основната“ и „широкообхватната“ Трансевропейска транспортна мрежа“;</w:t>
      </w:r>
    </w:p>
    <w:p w:rsidR="007E360C" w:rsidRPr="00496FD7" w:rsidRDefault="007E360C" w:rsidP="007E360C">
      <w:pPr>
        <w:rPr>
          <w:lang w:eastAsia="bg-BG"/>
        </w:rPr>
      </w:pPr>
      <w:r w:rsidRPr="00496FD7">
        <w:rPr>
          <w:lang w:eastAsia="bg-BG"/>
        </w:rPr>
        <w:t>2 „Развитие на пътната инфраструктура по „основната“ Трансевропейска транспортна мрежа“ и пътни връзки;</w:t>
      </w:r>
    </w:p>
    <w:p w:rsidR="007E360C" w:rsidRPr="00496FD7" w:rsidRDefault="007E360C" w:rsidP="007E360C">
      <w:pPr>
        <w:rPr>
          <w:lang w:eastAsia="bg-BG"/>
        </w:rPr>
      </w:pPr>
      <w:r w:rsidRPr="00496FD7">
        <w:rPr>
          <w:lang w:eastAsia="bg-BG"/>
        </w:rPr>
        <w:t>3 „Подобряване на интермодалността, иновации, модернизирани системи за управление на трафика, подобряване на сигурността и безопасността на транспорта“;</w:t>
      </w:r>
    </w:p>
    <w:p w:rsidR="007E360C" w:rsidRPr="00496FD7" w:rsidRDefault="007E360C" w:rsidP="007E360C">
      <w:pPr>
        <w:rPr>
          <w:lang w:eastAsia="bg-BG"/>
        </w:rPr>
      </w:pPr>
      <w:r w:rsidRPr="00496FD7">
        <w:rPr>
          <w:lang w:eastAsia="bg-BG"/>
        </w:rPr>
        <w:t>Приоритет 4 „Интермодалност в градска среда“ допринася за реализацията на ЦП 2.</w:t>
      </w:r>
    </w:p>
    <w:p w:rsidR="007E360C" w:rsidRPr="00496FD7" w:rsidRDefault="007E360C" w:rsidP="007E360C">
      <w:pPr>
        <w:rPr>
          <w:lang w:eastAsia="bg-BG"/>
        </w:rPr>
      </w:pPr>
      <w:r w:rsidRPr="00496FD7">
        <w:rPr>
          <w:lang w:eastAsia="bg-BG"/>
        </w:rPr>
        <w:t>В допълнение приоритет „Техническа помощ“ подпомага изпълнението на ПТС, повишава административния капацитет и публичната подкрепа.</w:t>
      </w:r>
    </w:p>
    <w:p w:rsidR="007E360C" w:rsidRPr="00496FD7" w:rsidRDefault="007E360C" w:rsidP="007E360C">
      <w:pPr>
        <w:rPr>
          <w:lang w:eastAsia="bg-BG"/>
        </w:rPr>
      </w:pPr>
      <w:r w:rsidRPr="00496FD7">
        <w:rPr>
          <w:lang w:eastAsia="bg-BG"/>
        </w:rPr>
        <w:t xml:space="preserve">Приоритетите на ПТС допринасят за реализацията на Зелената сделка, както и на СУИМЕС, която предвижда транспортния сектор да намали значително своите емисии и да стане по-устойчив, както и екологичната мобилност да бъде новия метод за растеж на транспортния сектор. Предвидените инвестиции насърчават употребата на екологосъобразни видове транспорт и алтернативни горива, подобряват качеството на пътната инфраструктура и допринасят за намаляване на вредното въздействие върху околната среда на транспорта. Една от основните задачи, дефинирани в стратегията е навременното завършване на TEN-T </w:t>
      </w:r>
      <w:r w:rsidRPr="00496FD7">
        <w:rPr>
          <w:lang w:eastAsia="bg-BG"/>
        </w:rPr>
        <w:lastRenderedPageBreak/>
        <w:t>мрежата и цифровата трансформация. За изпълнението ѝ ще допринесат предвидените инвестиции по ПТС за развитие на TEN-T мрежата на територията на страната и за внедряване и последващо развитие на интелигентни транспортни системи във видовете транспорт.</w:t>
      </w:r>
    </w:p>
    <w:p w:rsidR="007E360C" w:rsidRPr="00496FD7" w:rsidRDefault="007E360C" w:rsidP="007E360C">
      <w:pPr>
        <w:rPr>
          <w:lang w:eastAsia="bg-BG"/>
        </w:rPr>
      </w:pPr>
      <w:r w:rsidRPr="00496FD7">
        <w:rPr>
          <w:lang w:eastAsia="bg-BG"/>
        </w:rPr>
        <w:t>ПТС ще допринесе и за постигане на стратегическите цели на националната транспортна политика, дефинирани в „Интегрирана транспортна стратегия в периода до 2030 г.”, а именно „Повишаване на ефективността и конкурентноспособността на транспортния сектор“, „Подобряване на транспортната свързаност и достъпност“ и „Ограничаване на отрицателните ефекти от развитие на транспортния сектор“.</w:t>
      </w:r>
    </w:p>
    <w:p w:rsidR="007E360C" w:rsidRPr="00496FD7" w:rsidRDefault="007E360C" w:rsidP="007E360C">
      <w:pPr>
        <w:pStyle w:val="Style2"/>
        <w:rPr>
          <w:lang w:val="bg-BG"/>
        </w:rPr>
      </w:pPr>
      <w:bookmarkStart w:id="8" w:name="_Toc479775607"/>
      <w:bookmarkStart w:id="9" w:name="_Toc140150194"/>
      <w:bookmarkStart w:id="10" w:name="_Toc152769876"/>
      <w:r w:rsidRPr="00496FD7">
        <w:rPr>
          <w:lang w:val="bg-BG"/>
        </w:rPr>
        <w:t>Приоритети по ПТС 2021-2027 г.</w:t>
      </w:r>
      <w:bookmarkEnd w:id="8"/>
      <w:bookmarkEnd w:id="9"/>
      <w:bookmarkEnd w:id="10"/>
    </w:p>
    <w:p w:rsidR="007E360C" w:rsidRPr="00496FD7" w:rsidRDefault="007E360C" w:rsidP="007E360C">
      <w:pPr>
        <w:rPr>
          <w:b/>
        </w:rPr>
      </w:pPr>
      <w:r w:rsidRPr="00496FD7">
        <w:t xml:space="preserve">В етапа на програмиране в обхвата на ПТС са идентифицирани са следните </w:t>
      </w:r>
      <w:r w:rsidRPr="00496FD7">
        <w:rPr>
          <w:b/>
        </w:rPr>
        <w:t>приоритети:</w:t>
      </w:r>
    </w:p>
    <w:p w:rsidR="007E360C" w:rsidRPr="00496FD7" w:rsidRDefault="007E360C" w:rsidP="007E360C">
      <w:pPr>
        <w:spacing w:after="60"/>
        <w:rPr>
          <w:color w:val="000000"/>
          <w:szCs w:val="24"/>
          <w:lang w:val="en-US"/>
        </w:rPr>
      </w:pP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4252"/>
        <w:gridCol w:w="2693"/>
      </w:tblGrid>
      <w:tr w:rsidR="007E360C" w:rsidRPr="00496FD7" w:rsidTr="007E360C">
        <w:trPr>
          <w:trHeight w:val="551"/>
        </w:trPr>
        <w:tc>
          <w:tcPr>
            <w:tcW w:w="2836" w:type="dxa"/>
            <w:shd w:val="clear" w:color="auto" w:fill="BDD6EE"/>
            <w:vAlign w:val="center"/>
          </w:tcPr>
          <w:p w:rsidR="007E360C" w:rsidRPr="00496FD7" w:rsidRDefault="007E360C" w:rsidP="007E360C">
            <w:pPr>
              <w:spacing w:before="134" w:beforeAutospacing="1" w:after="100" w:afterAutospacing="1"/>
              <w:ind w:right="141"/>
              <w:jc w:val="center"/>
              <w:rPr>
                <w:b/>
                <w:color w:val="000000"/>
                <w:sz w:val="20"/>
                <w:lang w:eastAsia="bg-BG"/>
              </w:rPr>
            </w:pPr>
            <w:r w:rsidRPr="00496FD7">
              <w:rPr>
                <w:b/>
                <w:color w:val="000000"/>
                <w:sz w:val="20"/>
                <w:lang w:eastAsia="bg-BG"/>
              </w:rPr>
              <w:t>Номер и наименование на приоритета по ПТС</w:t>
            </w:r>
          </w:p>
        </w:tc>
        <w:tc>
          <w:tcPr>
            <w:tcW w:w="4252" w:type="dxa"/>
            <w:shd w:val="clear" w:color="auto" w:fill="BDD6EE"/>
            <w:vAlign w:val="center"/>
          </w:tcPr>
          <w:p w:rsidR="007E360C" w:rsidRPr="00496FD7" w:rsidRDefault="007E360C" w:rsidP="007E360C">
            <w:pPr>
              <w:spacing w:before="134" w:beforeAutospacing="1" w:after="100" w:afterAutospacing="1"/>
              <w:ind w:right="141"/>
              <w:jc w:val="center"/>
              <w:rPr>
                <w:b/>
                <w:color w:val="000000"/>
                <w:sz w:val="20"/>
                <w:lang w:eastAsia="bg-BG"/>
              </w:rPr>
            </w:pPr>
            <w:r w:rsidRPr="00496FD7">
              <w:rPr>
                <w:b/>
                <w:color w:val="000000"/>
                <w:sz w:val="20"/>
                <w:lang w:eastAsia="bg-BG"/>
              </w:rPr>
              <w:t>Специфична цел</w:t>
            </w:r>
          </w:p>
        </w:tc>
        <w:tc>
          <w:tcPr>
            <w:tcW w:w="2693" w:type="dxa"/>
            <w:shd w:val="clear" w:color="auto" w:fill="BDD6EE"/>
            <w:vAlign w:val="center"/>
          </w:tcPr>
          <w:p w:rsidR="007E360C" w:rsidRPr="00496FD7" w:rsidRDefault="007E360C" w:rsidP="007E360C">
            <w:pPr>
              <w:spacing w:before="134" w:beforeAutospacing="1" w:after="100" w:afterAutospacing="1"/>
              <w:ind w:right="141"/>
              <w:jc w:val="center"/>
              <w:rPr>
                <w:b/>
                <w:color w:val="000000"/>
                <w:sz w:val="20"/>
                <w:lang w:eastAsia="bg-BG"/>
              </w:rPr>
            </w:pPr>
            <w:r w:rsidRPr="00496FD7">
              <w:rPr>
                <w:b/>
                <w:bCs/>
                <w:sz w:val="20"/>
                <w:lang w:eastAsia="bg-BG"/>
              </w:rPr>
              <w:t xml:space="preserve">Конкретни </w:t>
            </w:r>
            <w:r w:rsidRPr="00496FD7">
              <w:rPr>
                <w:b/>
                <w:color w:val="000000"/>
                <w:sz w:val="20"/>
                <w:lang w:eastAsia="bg-BG"/>
              </w:rPr>
              <w:t>бенефициенти по ПТС</w:t>
            </w:r>
          </w:p>
        </w:tc>
      </w:tr>
      <w:tr w:rsidR="007E360C" w:rsidRPr="00496FD7" w:rsidTr="007E360C">
        <w:tc>
          <w:tcPr>
            <w:tcW w:w="2836" w:type="dxa"/>
          </w:tcPr>
          <w:p w:rsidR="007E360C" w:rsidRPr="00496FD7" w:rsidRDefault="007E360C" w:rsidP="007E360C">
            <w:pPr>
              <w:spacing w:before="120" w:after="120"/>
              <w:ind w:right="141"/>
              <w:rPr>
                <w:color w:val="000000"/>
                <w:szCs w:val="24"/>
                <w:lang w:eastAsia="bg-BG"/>
              </w:rPr>
            </w:pPr>
            <w:r w:rsidRPr="00496FD7">
              <w:rPr>
                <w:b/>
                <w:color w:val="000000"/>
                <w:szCs w:val="24"/>
                <w:lang w:eastAsia="bg-BG"/>
              </w:rPr>
              <w:t>Приоритет 1</w:t>
            </w:r>
            <w:r w:rsidRPr="00496FD7">
              <w:rPr>
                <w:color w:val="000000"/>
                <w:szCs w:val="24"/>
                <w:lang w:eastAsia="bg-BG"/>
              </w:rPr>
              <w:t xml:space="preserve"> </w:t>
            </w:r>
            <w:r w:rsidRPr="00496FD7">
              <w:rPr>
                <w:color w:val="000000"/>
                <w:szCs w:val="24"/>
                <w:lang w:eastAsia="bg-BG" w:bidi="bg-BG"/>
              </w:rPr>
              <w:t>„Развитие на железопътната инфраструктура по „основната“ и „широкообхватната“ Трансевропейска транспортна мрежа“</w:t>
            </w:r>
          </w:p>
        </w:tc>
        <w:tc>
          <w:tcPr>
            <w:tcW w:w="4252" w:type="dxa"/>
          </w:tcPr>
          <w:p w:rsidR="007E360C" w:rsidRPr="00496FD7" w:rsidRDefault="007E360C" w:rsidP="007E360C">
            <w:pPr>
              <w:numPr>
                <w:ilvl w:val="0"/>
                <w:numId w:val="1"/>
              </w:numPr>
              <w:ind w:left="142" w:right="-108" w:hanging="142"/>
              <w:jc w:val="left"/>
              <w:rPr>
                <w:color w:val="000000"/>
                <w:szCs w:val="24"/>
                <w:lang w:eastAsia="bg-BG"/>
              </w:rPr>
            </w:pPr>
            <w:r w:rsidRPr="00496FD7">
              <w:t xml:space="preserve">RSO3.1 </w:t>
            </w:r>
            <w:r w:rsidRPr="00496FD7">
              <w:rPr>
                <w:iCs/>
                <w:noProof/>
                <w:szCs w:val="24"/>
              </w:rPr>
              <w:t>Развитие на устойчива на изменението на климата, интелигентна, сигурна, стабилна и интермодална TEN-T“</w:t>
            </w:r>
          </w:p>
        </w:tc>
        <w:tc>
          <w:tcPr>
            <w:tcW w:w="2693" w:type="dxa"/>
          </w:tcPr>
          <w:p w:rsidR="007E360C" w:rsidRPr="00496FD7" w:rsidRDefault="007E360C" w:rsidP="007E360C">
            <w:pPr>
              <w:numPr>
                <w:ilvl w:val="0"/>
                <w:numId w:val="1"/>
              </w:numPr>
              <w:ind w:left="142" w:right="-108" w:hanging="142"/>
              <w:jc w:val="left"/>
              <w:rPr>
                <w:color w:val="000000"/>
                <w:szCs w:val="24"/>
                <w:lang w:eastAsia="bg-BG"/>
              </w:rPr>
            </w:pPr>
            <w:r w:rsidRPr="00496FD7">
              <w:rPr>
                <w:color w:val="000000"/>
                <w:szCs w:val="24"/>
                <w:lang w:eastAsia="bg-BG"/>
              </w:rPr>
              <w:t>НКЖИ</w:t>
            </w:r>
          </w:p>
          <w:p w:rsidR="007E360C" w:rsidRPr="00496FD7" w:rsidRDefault="007E360C" w:rsidP="007E360C">
            <w:pPr>
              <w:ind w:left="142" w:right="-108" w:hanging="142"/>
              <w:rPr>
                <w:color w:val="000000"/>
                <w:szCs w:val="24"/>
                <w:lang w:eastAsia="bg-BG"/>
              </w:rPr>
            </w:pPr>
          </w:p>
        </w:tc>
      </w:tr>
      <w:tr w:rsidR="007E360C" w:rsidRPr="00496FD7" w:rsidTr="007E360C">
        <w:tc>
          <w:tcPr>
            <w:tcW w:w="2836" w:type="dxa"/>
          </w:tcPr>
          <w:p w:rsidR="007E360C" w:rsidRPr="00496FD7" w:rsidRDefault="007E360C" w:rsidP="007E360C">
            <w:pPr>
              <w:spacing w:before="120" w:after="120"/>
              <w:ind w:right="141"/>
              <w:rPr>
                <w:color w:val="000000"/>
                <w:szCs w:val="24"/>
                <w:lang w:eastAsia="bg-BG"/>
              </w:rPr>
            </w:pPr>
            <w:r w:rsidRPr="00496FD7">
              <w:rPr>
                <w:b/>
                <w:color w:val="000000"/>
                <w:szCs w:val="24"/>
                <w:lang w:eastAsia="bg-BG"/>
              </w:rPr>
              <w:t>Приоритет 2</w:t>
            </w:r>
            <w:r w:rsidRPr="00496FD7">
              <w:rPr>
                <w:color w:val="000000"/>
                <w:szCs w:val="24"/>
                <w:lang w:eastAsia="bg-BG"/>
              </w:rPr>
              <w:t xml:space="preserve"> </w:t>
            </w:r>
            <w:r w:rsidRPr="00496FD7">
              <w:rPr>
                <w:color w:val="000000"/>
                <w:szCs w:val="24"/>
                <w:lang w:eastAsia="bg-BG" w:bidi="bg-BG"/>
              </w:rPr>
              <w:t>„Развитие на пътната инфраструктура по „основната“ Трансевропейска транспортна мрежа и пътни връзки“</w:t>
            </w:r>
          </w:p>
        </w:tc>
        <w:tc>
          <w:tcPr>
            <w:tcW w:w="4252" w:type="dxa"/>
          </w:tcPr>
          <w:p w:rsidR="007E360C" w:rsidRPr="00496FD7" w:rsidRDefault="007E360C" w:rsidP="007E360C">
            <w:pPr>
              <w:numPr>
                <w:ilvl w:val="0"/>
                <w:numId w:val="1"/>
              </w:numPr>
              <w:ind w:left="142" w:right="-108" w:hanging="142"/>
              <w:jc w:val="left"/>
              <w:rPr>
                <w:color w:val="000000"/>
                <w:szCs w:val="24"/>
                <w:lang w:eastAsia="bg-BG"/>
              </w:rPr>
            </w:pPr>
            <w:r w:rsidRPr="00496FD7">
              <w:t>RSO3.1</w:t>
            </w:r>
            <w:r w:rsidRPr="00496FD7">
              <w:rPr>
                <w:iCs/>
                <w:noProof/>
                <w:szCs w:val="24"/>
              </w:rPr>
              <w:t xml:space="preserve"> „Развитие на устойчива на изменението на климата, интелигентна, сигурна, стабилна и интермодална TEN-T“</w:t>
            </w:r>
          </w:p>
        </w:tc>
        <w:tc>
          <w:tcPr>
            <w:tcW w:w="2693" w:type="dxa"/>
          </w:tcPr>
          <w:p w:rsidR="007E360C" w:rsidRPr="00496FD7" w:rsidRDefault="007E360C" w:rsidP="007E360C">
            <w:pPr>
              <w:numPr>
                <w:ilvl w:val="0"/>
                <w:numId w:val="1"/>
              </w:numPr>
              <w:ind w:left="142" w:right="-108" w:hanging="142"/>
              <w:jc w:val="left"/>
              <w:rPr>
                <w:color w:val="000000"/>
                <w:szCs w:val="24"/>
                <w:lang w:eastAsia="bg-BG"/>
              </w:rPr>
            </w:pPr>
            <w:r w:rsidRPr="00496FD7">
              <w:rPr>
                <w:color w:val="000000"/>
                <w:szCs w:val="24"/>
                <w:lang w:eastAsia="bg-BG"/>
              </w:rPr>
              <w:t>АПИ</w:t>
            </w:r>
          </w:p>
        </w:tc>
      </w:tr>
      <w:tr w:rsidR="007E360C" w:rsidRPr="00496FD7" w:rsidTr="007E360C">
        <w:trPr>
          <w:trHeight w:val="890"/>
        </w:trPr>
        <w:tc>
          <w:tcPr>
            <w:tcW w:w="2836" w:type="dxa"/>
          </w:tcPr>
          <w:p w:rsidR="007E360C" w:rsidRPr="00496FD7" w:rsidRDefault="007E360C" w:rsidP="007E360C">
            <w:pPr>
              <w:spacing w:before="120" w:after="120"/>
              <w:ind w:right="141"/>
              <w:rPr>
                <w:color w:val="000000"/>
                <w:szCs w:val="24"/>
                <w:lang w:eastAsia="bg-BG"/>
              </w:rPr>
            </w:pPr>
            <w:r w:rsidRPr="00496FD7">
              <w:rPr>
                <w:b/>
                <w:color w:val="000000"/>
                <w:szCs w:val="24"/>
                <w:lang w:eastAsia="bg-BG"/>
              </w:rPr>
              <w:t>Приоритет 3</w:t>
            </w:r>
            <w:r w:rsidRPr="00496FD7">
              <w:rPr>
                <w:color w:val="000000"/>
                <w:szCs w:val="24"/>
                <w:lang w:eastAsia="bg-BG"/>
              </w:rPr>
              <w:t xml:space="preserve"> </w:t>
            </w:r>
            <w:r w:rsidRPr="00496FD7">
              <w:rPr>
                <w:color w:val="000000"/>
                <w:szCs w:val="24"/>
                <w:lang w:eastAsia="bg-BG" w:bidi="bg-BG"/>
              </w:rPr>
              <w:t>„Подобряване на интермодалността, иновации, модернизирани системи за управление на трафика, подобряване на сигурността и безопасността на транспорта“</w:t>
            </w:r>
          </w:p>
        </w:tc>
        <w:tc>
          <w:tcPr>
            <w:tcW w:w="4252" w:type="dxa"/>
          </w:tcPr>
          <w:p w:rsidR="007E360C" w:rsidRPr="00496FD7" w:rsidRDefault="007E360C" w:rsidP="007E360C">
            <w:pPr>
              <w:numPr>
                <w:ilvl w:val="0"/>
                <w:numId w:val="1"/>
              </w:numPr>
              <w:ind w:left="142" w:right="-108" w:hanging="142"/>
              <w:jc w:val="left"/>
              <w:rPr>
                <w:color w:val="000000"/>
                <w:szCs w:val="24"/>
                <w:lang w:eastAsia="bg-BG"/>
              </w:rPr>
            </w:pPr>
            <w:r w:rsidRPr="00496FD7">
              <w:t>RSO3.1</w:t>
            </w:r>
            <w:r w:rsidRPr="00496FD7">
              <w:rPr>
                <w:iCs/>
                <w:noProof/>
                <w:szCs w:val="24"/>
              </w:rPr>
              <w:t xml:space="preserve"> „Развитие на устойчива на изменението на климата, интелигентна, сигурна, стабилна и интермодална TEN-T“</w:t>
            </w:r>
          </w:p>
        </w:tc>
        <w:tc>
          <w:tcPr>
            <w:tcW w:w="2693" w:type="dxa"/>
          </w:tcPr>
          <w:p w:rsidR="007E360C" w:rsidRPr="00496FD7" w:rsidRDefault="007E360C" w:rsidP="007E360C">
            <w:pPr>
              <w:numPr>
                <w:ilvl w:val="0"/>
                <w:numId w:val="1"/>
              </w:numPr>
              <w:ind w:left="142" w:right="-108" w:hanging="142"/>
              <w:jc w:val="left"/>
              <w:rPr>
                <w:color w:val="000000"/>
                <w:szCs w:val="24"/>
                <w:lang w:eastAsia="bg-BG"/>
              </w:rPr>
            </w:pPr>
            <w:r w:rsidRPr="00496FD7">
              <w:rPr>
                <w:color w:val="000000"/>
                <w:szCs w:val="24"/>
                <w:lang w:eastAsia="bg-BG"/>
              </w:rPr>
              <w:t>НКЖИ</w:t>
            </w:r>
          </w:p>
          <w:p w:rsidR="007E360C" w:rsidRPr="00496FD7" w:rsidRDefault="007E360C" w:rsidP="007E360C">
            <w:pPr>
              <w:numPr>
                <w:ilvl w:val="0"/>
                <w:numId w:val="1"/>
              </w:numPr>
              <w:ind w:left="142" w:right="-108" w:hanging="142"/>
              <w:jc w:val="left"/>
              <w:rPr>
                <w:color w:val="000000"/>
                <w:szCs w:val="24"/>
                <w:lang w:eastAsia="bg-BG"/>
              </w:rPr>
            </w:pPr>
            <w:r w:rsidRPr="00496FD7">
              <w:rPr>
                <w:color w:val="000000"/>
                <w:szCs w:val="24"/>
                <w:lang w:eastAsia="bg-BG"/>
              </w:rPr>
              <w:t>ДППИ</w:t>
            </w:r>
          </w:p>
          <w:p w:rsidR="007E360C" w:rsidRPr="00496FD7" w:rsidRDefault="007E360C" w:rsidP="007E360C">
            <w:pPr>
              <w:numPr>
                <w:ilvl w:val="0"/>
                <w:numId w:val="1"/>
              </w:numPr>
              <w:ind w:left="142" w:right="-108" w:hanging="142"/>
              <w:jc w:val="left"/>
              <w:rPr>
                <w:color w:val="000000"/>
                <w:szCs w:val="24"/>
                <w:lang w:eastAsia="bg-BG"/>
              </w:rPr>
            </w:pPr>
            <w:r w:rsidRPr="00496FD7">
              <w:rPr>
                <w:color w:val="000000"/>
                <w:szCs w:val="24"/>
                <w:lang w:eastAsia="bg-BG"/>
              </w:rPr>
              <w:t>АПИ</w:t>
            </w:r>
            <w:r w:rsidRPr="00496FD7">
              <w:rPr>
                <w:szCs w:val="24"/>
              </w:rPr>
              <w:t xml:space="preserve"> </w:t>
            </w:r>
          </w:p>
          <w:p w:rsidR="007E360C" w:rsidRPr="00496FD7" w:rsidRDefault="007E360C" w:rsidP="007E360C">
            <w:pPr>
              <w:numPr>
                <w:ilvl w:val="0"/>
                <w:numId w:val="1"/>
              </w:numPr>
              <w:ind w:left="142" w:right="-108" w:hanging="142"/>
              <w:jc w:val="left"/>
              <w:rPr>
                <w:color w:val="000000"/>
                <w:szCs w:val="24"/>
                <w:lang w:eastAsia="bg-BG"/>
              </w:rPr>
            </w:pPr>
            <w:r w:rsidRPr="00496FD7">
              <w:rPr>
                <w:szCs w:val="24"/>
              </w:rPr>
              <w:t xml:space="preserve">ИАППД </w:t>
            </w:r>
          </w:p>
          <w:p w:rsidR="007E360C" w:rsidRPr="00496FD7" w:rsidRDefault="007E360C" w:rsidP="007E360C">
            <w:pPr>
              <w:numPr>
                <w:ilvl w:val="0"/>
                <w:numId w:val="1"/>
              </w:numPr>
              <w:ind w:left="142" w:right="-108" w:hanging="142"/>
              <w:jc w:val="left"/>
              <w:rPr>
                <w:color w:val="000000"/>
                <w:szCs w:val="24"/>
                <w:lang w:eastAsia="bg-BG"/>
              </w:rPr>
            </w:pPr>
            <w:r w:rsidRPr="00496FD7">
              <w:rPr>
                <w:szCs w:val="24"/>
              </w:rPr>
              <w:t>ИАМА</w:t>
            </w:r>
          </w:p>
        </w:tc>
      </w:tr>
      <w:tr w:rsidR="007E360C" w:rsidRPr="00496FD7" w:rsidTr="007E360C">
        <w:trPr>
          <w:trHeight w:val="433"/>
        </w:trPr>
        <w:tc>
          <w:tcPr>
            <w:tcW w:w="2836" w:type="dxa"/>
          </w:tcPr>
          <w:p w:rsidR="007E360C" w:rsidRPr="00496FD7" w:rsidRDefault="007E360C" w:rsidP="007E360C">
            <w:pPr>
              <w:spacing w:before="120" w:after="120"/>
              <w:ind w:right="141"/>
              <w:rPr>
                <w:color w:val="000000"/>
                <w:szCs w:val="24"/>
                <w:lang w:eastAsia="bg-BG"/>
              </w:rPr>
            </w:pPr>
            <w:r w:rsidRPr="00496FD7">
              <w:rPr>
                <w:b/>
                <w:color w:val="000000"/>
                <w:szCs w:val="24"/>
                <w:lang w:eastAsia="bg-BG"/>
              </w:rPr>
              <w:t xml:space="preserve">Приоритет 4 </w:t>
            </w:r>
            <w:r w:rsidRPr="00496FD7">
              <w:rPr>
                <w:color w:val="000000"/>
                <w:szCs w:val="24"/>
                <w:lang w:eastAsia="bg-BG" w:bidi="bg-BG"/>
              </w:rPr>
              <w:t>„Интермодалност в градски условия“</w:t>
            </w:r>
          </w:p>
        </w:tc>
        <w:tc>
          <w:tcPr>
            <w:tcW w:w="4252" w:type="dxa"/>
          </w:tcPr>
          <w:p w:rsidR="007E360C" w:rsidRPr="00496FD7" w:rsidRDefault="007E360C" w:rsidP="007E360C">
            <w:pPr>
              <w:numPr>
                <w:ilvl w:val="0"/>
                <w:numId w:val="1"/>
              </w:numPr>
              <w:tabs>
                <w:tab w:val="left" w:pos="0"/>
              </w:tabs>
              <w:ind w:left="318" w:right="-108" w:hanging="318"/>
              <w:jc w:val="left"/>
              <w:rPr>
                <w:color w:val="000000"/>
                <w:szCs w:val="24"/>
                <w:lang w:eastAsia="bg-BG" w:bidi="bg-BG"/>
              </w:rPr>
            </w:pPr>
            <w:r w:rsidRPr="00496FD7">
              <w:t>RSO2.8</w:t>
            </w:r>
            <w:r w:rsidRPr="00496FD7">
              <w:rPr>
                <w:iCs/>
                <w:noProof/>
                <w:szCs w:val="24"/>
              </w:rPr>
              <w:t xml:space="preserve"> „Насърчаване на устойчива мултимодална градска мобилност като част от прехода към икономика с нулеви нетни въглеродни емисии“</w:t>
            </w:r>
          </w:p>
        </w:tc>
        <w:tc>
          <w:tcPr>
            <w:tcW w:w="2693" w:type="dxa"/>
          </w:tcPr>
          <w:p w:rsidR="007E360C" w:rsidRPr="00496FD7" w:rsidRDefault="007E360C" w:rsidP="007E360C">
            <w:pPr>
              <w:numPr>
                <w:ilvl w:val="0"/>
                <w:numId w:val="1"/>
              </w:numPr>
              <w:tabs>
                <w:tab w:val="left" w:pos="0"/>
              </w:tabs>
              <w:ind w:left="318" w:right="-108" w:hanging="318"/>
              <w:jc w:val="left"/>
              <w:rPr>
                <w:color w:val="000000"/>
                <w:szCs w:val="24"/>
                <w:lang w:eastAsia="bg-BG"/>
              </w:rPr>
            </w:pPr>
            <w:r w:rsidRPr="00496FD7">
              <w:rPr>
                <w:color w:val="000000"/>
                <w:szCs w:val="24"/>
                <w:lang w:eastAsia="bg-BG" w:bidi="bg-BG"/>
              </w:rPr>
              <w:t>НКЖИ</w:t>
            </w:r>
          </w:p>
        </w:tc>
      </w:tr>
      <w:tr w:rsidR="007E360C" w:rsidRPr="00496FD7" w:rsidTr="007E360C">
        <w:tc>
          <w:tcPr>
            <w:tcW w:w="2836" w:type="dxa"/>
          </w:tcPr>
          <w:p w:rsidR="007E360C" w:rsidRPr="00496FD7" w:rsidRDefault="007E360C" w:rsidP="007E360C">
            <w:pPr>
              <w:spacing w:before="120" w:after="120"/>
              <w:ind w:right="141"/>
              <w:rPr>
                <w:color w:val="000000"/>
                <w:szCs w:val="24"/>
                <w:lang w:eastAsia="bg-BG"/>
              </w:rPr>
            </w:pPr>
            <w:r w:rsidRPr="00496FD7">
              <w:rPr>
                <w:b/>
                <w:color w:val="000000"/>
                <w:szCs w:val="24"/>
                <w:lang w:eastAsia="bg-BG"/>
              </w:rPr>
              <w:lastRenderedPageBreak/>
              <w:t>Приоритет 5</w:t>
            </w:r>
            <w:r w:rsidRPr="00496FD7">
              <w:rPr>
                <w:color w:val="000000"/>
                <w:szCs w:val="24"/>
                <w:lang w:eastAsia="bg-BG"/>
              </w:rPr>
              <w:t xml:space="preserve"> „Техническа помощ”</w:t>
            </w:r>
          </w:p>
        </w:tc>
        <w:tc>
          <w:tcPr>
            <w:tcW w:w="4252" w:type="dxa"/>
          </w:tcPr>
          <w:p w:rsidR="007E360C" w:rsidRPr="00496FD7" w:rsidRDefault="007E360C" w:rsidP="007E360C">
            <w:pPr>
              <w:numPr>
                <w:ilvl w:val="0"/>
                <w:numId w:val="1"/>
              </w:numPr>
              <w:ind w:left="421" w:right="-108" w:hanging="421"/>
              <w:jc w:val="left"/>
              <w:rPr>
                <w:color w:val="000000"/>
                <w:szCs w:val="24"/>
                <w:lang w:eastAsia="bg-BG"/>
              </w:rPr>
            </w:pPr>
            <w:r w:rsidRPr="00496FD7">
              <w:rPr>
                <w:iCs/>
                <w:noProof/>
                <w:szCs w:val="24"/>
              </w:rPr>
              <w:t>НП</w:t>
            </w:r>
          </w:p>
        </w:tc>
        <w:tc>
          <w:tcPr>
            <w:tcW w:w="2693" w:type="dxa"/>
          </w:tcPr>
          <w:p w:rsidR="007E360C" w:rsidRPr="00496FD7" w:rsidRDefault="007E360C" w:rsidP="007E360C">
            <w:pPr>
              <w:numPr>
                <w:ilvl w:val="0"/>
                <w:numId w:val="1"/>
              </w:numPr>
              <w:ind w:left="421" w:right="-108" w:hanging="421"/>
              <w:jc w:val="left"/>
              <w:rPr>
                <w:color w:val="000000"/>
                <w:szCs w:val="24"/>
                <w:lang w:eastAsia="bg-BG"/>
              </w:rPr>
            </w:pPr>
            <w:r w:rsidRPr="00496FD7">
              <w:rPr>
                <w:color w:val="000000"/>
                <w:szCs w:val="24"/>
                <w:lang w:eastAsia="bg-BG"/>
              </w:rPr>
              <w:t>УО на ПТС;</w:t>
            </w:r>
          </w:p>
          <w:p w:rsidR="007E360C" w:rsidRPr="00496FD7" w:rsidRDefault="007E360C" w:rsidP="007E360C">
            <w:pPr>
              <w:numPr>
                <w:ilvl w:val="0"/>
                <w:numId w:val="1"/>
              </w:numPr>
              <w:ind w:left="421" w:right="-108" w:hanging="421"/>
              <w:jc w:val="left"/>
              <w:rPr>
                <w:color w:val="000000"/>
                <w:szCs w:val="24"/>
                <w:lang w:eastAsia="bg-BG"/>
              </w:rPr>
            </w:pPr>
            <w:r w:rsidRPr="00496FD7">
              <w:rPr>
                <w:color w:val="000000"/>
                <w:szCs w:val="24"/>
                <w:lang w:eastAsia="bg-BG"/>
              </w:rPr>
              <w:t>НКЖИ;</w:t>
            </w:r>
          </w:p>
          <w:p w:rsidR="007E360C" w:rsidRPr="00496FD7" w:rsidRDefault="007E360C" w:rsidP="007E360C">
            <w:pPr>
              <w:numPr>
                <w:ilvl w:val="0"/>
                <w:numId w:val="1"/>
              </w:numPr>
              <w:ind w:left="421" w:right="-108" w:hanging="421"/>
              <w:jc w:val="left"/>
              <w:rPr>
                <w:color w:val="000000"/>
                <w:szCs w:val="24"/>
                <w:lang w:eastAsia="bg-BG"/>
              </w:rPr>
            </w:pPr>
            <w:r w:rsidRPr="00496FD7">
              <w:rPr>
                <w:color w:val="000000"/>
                <w:szCs w:val="24"/>
                <w:lang w:eastAsia="bg-BG"/>
              </w:rPr>
              <w:t>АПИ;</w:t>
            </w:r>
          </w:p>
          <w:p w:rsidR="007E360C" w:rsidRPr="00496FD7" w:rsidRDefault="007E360C" w:rsidP="007E360C">
            <w:pPr>
              <w:numPr>
                <w:ilvl w:val="0"/>
                <w:numId w:val="1"/>
              </w:numPr>
              <w:ind w:left="421" w:right="-108" w:hanging="421"/>
              <w:jc w:val="left"/>
              <w:rPr>
                <w:color w:val="000000"/>
                <w:szCs w:val="24"/>
                <w:lang w:eastAsia="bg-BG"/>
              </w:rPr>
            </w:pPr>
            <w:r w:rsidRPr="00496FD7">
              <w:rPr>
                <w:color w:val="000000"/>
                <w:szCs w:val="24"/>
                <w:lang w:eastAsia="bg-BG"/>
              </w:rPr>
              <w:t>ИАППД;</w:t>
            </w:r>
          </w:p>
          <w:p w:rsidR="007E360C" w:rsidRPr="00496FD7" w:rsidRDefault="007E360C" w:rsidP="007E360C">
            <w:pPr>
              <w:numPr>
                <w:ilvl w:val="0"/>
                <w:numId w:val="1"/>
              </w:numPr>
              <w:ind w:left="421" w:right="-108" w:hanging="421"/>
              <w:jc w:val="left"/>
              <w:rPr>
                <w:color w:val="000000"/>
                <w:szCs w:val="24"/>
                <w:lang w:eastAsia="bg-BG"/>
              </w:rPr>
            </w:pPr>
            <w:r w:rsidRPr="00496FD7">
              <w:rPr>
                <w:color w:val="000000"/>
                <w:szCs w:val="24"/>
                <w:lang w:eastAsia="bg-BG"/>
              </w:rPr>
              <w:t>ДППИ;</w:t>
            </w:r>
          </w:p>
          <w:p w:rsidR="007E360C" w:rsidRPr="00496FD7" w:rsidRDefault="007E360C" w:rsidP="007E360C">
            <w:pPr>
              <w:numPr>
                <w:ilvl w:val="0"/>
                <w:numId w:val="1"/>
              </w:numPr>
              <w:ind w:left="421" w:right="-108" w:hanging="421"/>
              <w:jc w:val="left"/>
              <w:rPr>
                <w:color w:val="000000"/>
                <w:szCs w:val="24"/>
                <w:lang w:eastAsia="bg-BG"/>
              </w:rPr>
            </w:pPr>
            <w:r w:rsidRPr="00496FD7">
              <w:rPr>
                <w:color w:val="000000"/>
                <w:szCs w:val="24"/>
                <w:lang w:eastAsia="bg-BG"/>
              </w:rPr>
              <w:t>ИАМА;</w:t>
            </w:r>
          </w:p>
          <w:p w:rsidR="007E360C" w:rsidRPr="00496FD7" w:rsidRDefault="007E360C" w:rsidP="007E360C">
            <w:pPr>
              <w:numPr>
                <w:ilvl w:val="0"/>
                <w:numId w:val="1"/>
              </w:numPr>
              <w:ind w:left="421" w:right="-108" w:hanging="421"/>
              <w:jc w:val="left"/>
              <w:rPr>
                <w:color w:val="000000"/>
                <w:szCs w:val="24"/>
                <w:lang w:eastAsia="bg-BG"/>
              </w:rPr>
            </w:pPr>
            <w:r w:rsidRPr="00496FD7">
              <w:rPr>
                <w:iCs/>
                <w:color w:val="000000"/>
                <w:szCs w:val="24"/>
                <w:lang w:eastAsia="bg-BG"/>
              </w:rPr>
              <w:t>Социални партньори и организации на гражданското общество, участващи в Комитета за наблюдение на ПТС</w:t>
            </w:r>
            <w:r w:rsidRPr="00496FD7">
              <w:rPr>
                <w:iCs/>
                <w:color w:val="000000"/>
                <w:szCs w:val="24"/>
                <w:lang w:val="en-US" w:eastAsia="bg-BG"/>
              </w:rPr>
              <w:t>.</w:t>
            </w:r>
          </w:p>
        </w:tc>
      </w:tr>
    </w:tbl>
    <w:p w:rsidR="007E360C" w:rsidRPr="00496FD7" w:rsidRDefault="007E360C" w:rsidP="007E360C">
      <w:pPr>
        <w:pStyle w:val="ListParagraph"/>
        <w:ind w:left="1211" w:firstLine="0"/>
        <w:rPr>
          <w:lang w:eastAsia="bg-BG"/>
        </w:rPr>
      </w:pPr>
    </w:p>
    <w:p w:rsidR="007E360C" w:rsidRPr="00496FD7" w:rsidRDefault="007E360C" w:rsidP="007E360C">
      <w:pPr>
        <w:rPr>
          <w:lang w:eastAsia="bg-BG"/>
        </w:rPr>
      </w:pPr>
      <w:r w:rsidRPr="00496FD7">
        <w:rPr>
          <w:lang w:eastAsia="bg-BG"/>
        </w:rPr>
        <w:t>В процеса на подготовка на ПТС 2021-2027 г. е извършена приоритизация на проектите, включени в обхвата на програмата, на базата на мултикритериален анализ.</w:t>
      </w:r>
    </w:p>
    <w:p w:rsidR="007E360C" w:rsidRPr="00496FD7" w:rsidRDefault="007E360C" w:rsidP="007E360C">
      <w:pPr>
        <w:rPr>
          <w:noProof/>
        </w:rPr>
      </w:pPr>
    </w:p>
    <w:p w:rsidR="007E360C" w:rsidRPr="00496FD7" w:rsidRDefault="007E360C" w:rsidP="007E360C">
      <w:pPr>
        <w:rPr>
          <w:b/>
          <w:noProof/>
        </w:rPr>
      </w:pPr>
      <w:r w:rsidRPr="00496FD7">
        <w:rPr>
          <w:b/>
          <w:noProof/>
        </w:rPr>
        <w:t>Планираните операции от стратегическо значение по ПТС са:</w:t>
      </w:r>
    </w:p>
    <w:p w:rsidR="007E360C" w:rsidRPr="00496FD7" w:rsidRDefault="007E360C" w:rsidP="007E360C">
      <w:pPr>
        <w:rPr>
          <w:noProof/>
        </w:rPr>
      </w:pPr>
    </w:p>
    <w:p w:rsidR="007E360C" w:rsidRPr="00496FD7" w:rsidRDefault="007E360C" w:rsidP="007E360C">
      <w:pPr>
        <w:rPr>
          <w:noProof/>
          <w:szCs w:val="24"/>
        </w:rPr>
      </w:pPr>
      <w:r w:rsidRPr="00496FD7">
        <w:rPr>
          <w:szCs w:val="24"/>
          <w:lang w:eastAsia="en-GB"/>
        </w:rPr>
        <w:t xml:space="preserve">1. Изграждане и модернизация на железопътни участъци по направлението на коридор </w:t>
      </w:r>
      <w:r w:rsidRPr="00496FD7">
        <w:rPr>
          <w:noProof/>
          <w:szCs w:val="24"/>
        </w:rPr>
        <w:t>Ориент/Източно-Средиземноморски по приоритет 1</w:t>
      </w:r>
    </w:p>
    <w:p w:rsidR="007E360C" w:rsidRPr="00496FD7" w:rsidRDefault="007E360C" w:rsidP="007E360C">
      <w:pPr>
        <w:rPr>
          <w:szCs w:val="24"/>
          <w:lang w:eastAsia="en-GB"/>
        </w:rPr>
      </w:pPr>
      <w:r w:rsidRPr="00496FD7">
        <w:rPr>
          <w:noProof/>
        </w:rPr>
        <w:t xml:space="preserve">2. </w:t>
      </w:r>
      <w:r w:rsidRPr="00496FD7">
        <w:rPr>
          <w:szCs w:val="24"/>
          <w:lang w:eastAsia="en-GB"/>
        </w:rPr>
        <w:t xml:space="preserve">Изграждане на пътен участък по направлението на  коридор </w:t>
      </w:r>
    </w:p>
    <w:p w:rsidR="007E360C" w:rsidRPr="00496FD7" w:rsidRDefault="007E360C" w:rsidP="007E360C">
      <w:pPr>
        <w:rPr>
          <w:noProof/>
          <w:szCs w:val="24"/>
        </w:rPr>
      </w:pPr>
      <w:r w:rsidRPr="00496FD7">
        <w:rPr>
          <w:noProof/>
          <w:szCs w:val="24"/>
        </w:rPr>
        <w:t xml:space="preserve">Ориент/Източно-Средиземноморски и подобряване на свързаността между </w:t>
      </w:r>
    </w:p>
    <w:p w:rsidR="007E360C" w:rsidRPr="00496FD7" w:rsidRDefault="007E360C" w:rsidP="007E360C">
      <w:pPr>
        <w:rPr>
          <w:szCs w:val="24"/>
        </w:rPr>
      </w:pPr>
      <w:r w:rsidRPr="00496FD7">
        <w:rPr>
          <w:noProof/>
          <w:szCs w:val="24"/>
        </w:rPr>
        <w:t xml:space="preserve">коридор </w:t>
      </w:r>
      <w:r w:rsidRPr="00496FD7">
        <w:rPr>
          <w:szCs w:val="24"/>
        </w:rPr>
        <w:t xml:space="preserve">Рейнско – Дунавски и коридор Ориент/Източно Средиземноморски </w:t>
      </w:r>
    </w:p>
    <w:p w:rsidR="007E360C" w:rsidRPr="00496FD7" w:rsidRDefault="007E360C" w:rsidP="007E360C">
      <w:pPr>
        <w:rPr>
          <w:szCs w:val="24"/>
        </w:rPr>
      </w:pPr>
      <w:r w:rsidRPr="00496FD7">
        <w:rPr>
          <w:szCs w:val="24"/>
        </w:rPr>
        <w:t xml:space="preserve">в направление Север-Юг по приоритет 2. </w:t>
      </w:r>
    </w:p>
    <w:p w:rsidR="007E360C" w:rsidRPr="00496FD7" w:rsidRDefault="007E360C" w:rsidP="007E360C">
      <w:pPr>
        <w:spacing w:before="120" w:after="120"/>
        <w:rPr>
          <w:noProof/>
        </w:rPr>
      </w:pPr>
    </w:p>
    <w:p w:rsidR="007E360C" w:rsidRPr="00496FD7" w:rsidRDefault="007E360C" w:rsidP="007E360C">
      <w:pPr>
        <w:pStyle w:val="Style2"/>
        <w:tabs>
          <w:tab w:val="left" w:pos="993"/>
        </w:tabs>
        <w:rPr>
          <w:lang w:val="bg-BG"/>
        </w:rPr>
      </w:pPr>
      <w:bookmarkStart w:id="11" w:name="_Ref406166490"/>
      <w:bookmarkStart w:id="12" w:name="_Ref406166508"/>
      <w:bookmarkStart w:id="13" w:name="_Ref406166527"/>
      <w:bookmarkStart w:id="14" w:name="_Ref410299039"/>
      <w:bookmarkStart w:id="15" w:name="_Ref410299096"/>
      <w:bookmarkStart w:id="16" w:name="_Toc479775608"/>
      <w:bookmarkStart w:id="17" w:name="_Toc140150195"/>
      <w:bookmarkStart w:id="18" w:name="_Toc152769877"/>
      <w:r w:rsidRPr="00496FD7">
        <w:rPr>
          <w:lang w:val="bg-BG"/>
        </w:rPr>
        <w:t xml:space="preserve">Допустими дейности по </w:t>
      </w:r>
      <w:bookmarkEnd w:id="11"/>
      <w:bookmarkEnd w:id="12"/>
      <w:bookmarkEnd w:id="13"/>
      <w:r w:rsidRPr="00496FD7">
        <w:rPr>
          <w:lang w:val="bg-BG"/>
        </w:rPr>
        <w:t>ПТС 2021-2027 г.</w:t>
      </w:r>
      <w:bookmarkEnd w:id="14"/>
      <w:bookmarkEnd w:id="15"/>
      <w:bookmarkEnd w:id="16"/>
      <w:bookmarkEnd w:id="17"/>
      <w:bookmarkEnd w:id="18"/>
    </w:p>
    <w:p w:rsidR="007E360C" w:rsidRPr="00496FD7" w:rsidRDefault="007E360C" w:rsidP="007E360C">
      <w:pPr>
        <w:rPr>
          <w:lang w:eastAsia="bg-BG"/>
        </w:rPr>
      </w:pPr>
      <w:r w:rsidRPr="00496FD7">
        <w:rPr>
          <w:lang w:eastAsia="bg-BG"/>
        </w:rPr>
        <w:t>Допустимите дейности са описани съгласно одобрената първа версия на ПТС. При всяко следващо изменение на програмата, допустимите дейности следва да се считат за включени в текстовете на наръчника от датата на влизането в сила на изменението на програмата. Това се отразява при подготовката на следваща версия/ подверсия на наръчника.</w:t>
      </w:r>
    </w:p>
    <w:p w:rsidR="007E360C" w:rsidRPr="00496FD7" w:rsidRDefault="007E360C" w:rsidP="007E360C">
      <w:pPr>
        <w:rPr>
          <w:lang w:eastAsia="bg-BG"/>
        </w:rPr>
      </w:pPr>
    </w:p>
    <w:p w:rsidR="007E360C" w:rsidRPr="00496FD7" w:rsidRDefault="007E360C" w:rsidP="007E360C">
      <w:pPr>
        <w:rPr>
          <w:b/>
          <w:u w:val="single"/>
          <w:lang w:eastAsia="bg-BG"/>
        </w:rPr>
      </w:pPr>
      <w:r w:rsidRPr="00496FD7">
        <w:rPr>
          <w:b/>
          <w:u w:val="single"/>
          <w:lang w:eastAsia="bg-BG"/>
        </w:rPr>
        <w:t xml:space="preserve">Помощта от КФ и ЕФРР на ЕС по ПТС ще се дава за проектни предложения по: </w:t>
      </w:r>
    </w:p>
    <w:p w:rsidR="007E360C" w:rsidRPr="00496FD7" w:rsidRDefault="007E360C" w:rsidP="007E360C">
      <w:pPr>
        <w:pStyle w:val="ListParagraph"/>
        <w:ind w:left="0"/>
        <w:rPr>
          <w:szCs w:val="24"/>
          <w:lang w:eastAsia="bg-BG"/>
        </w:rPr>
      </w:pPr>
      <w:r w:rsidRPr="00496FD7">
        <w:rPr>
          <w:szCs w:val="24"/>
          <w:lang w:eastAsia="bg-BG"/>
        </w:rPr>
        <w:t>Допустимите дейности, допринасящи за постигане на целите на приоритетите на ПТС са както следва:</w:t>
      </w:r>
    </w:p>
    <w:p w:rsidR="007E360C" w:rsidRPr="00496FD7" w:rsidRDefault="007E360C" w:rsidP="007E360C">
      <w:pPr>
        <w:pStyle w:val="ListParagraph"/>
        <w:ind w:hanging="720"/>
        <w:rPr>
          <w:b/>
          <w:szCs w:val="24"/>
          <w:lang w:eastAsia="bg-BG"/>
        </w:rPr>
      </w:pPr>
    </w:p>
    <w:p w:rsidR="007E360C" w:rsidRPr="00496FD7" w:rsidRDefault="007E360C" w:rsidP="007E360C">
      <w:pPr>
        <w:spacing w:before="100"/>
        <w:ind w:firstLine="0"/>
        <w:rPr>
          <w:i/>
          <w:szCs w:val="24"/>
          <w:lang w:eastAsia="bg-BG"/>
        </w:rPr>
      </w:pPr>
      <w:r w:rsidRPr="00496FD7">
        <w:rPr>
          <w:b/>
          <w:i/>
          <w:szCs w:val="24"/>
          <w:lang w:eastAsia="bg-BG"/>
        </w:rPr>
        <w:t xml:space="preserve">Приоритет 1: допустими дейности по (КФ) </w:t>
      </w:r>
      <w:r w:rsidRPr="00496FD7">
        <w:rPr>
          <w:i/>
          <w:szCs w:val="24"/>
          <w:lang w:eastAsia="bg-BG"/>
        </w:rPr>
        <w:t>изграждане, модернизация, рехабилитация, електрификация и внедряване на сигнализация и телекомуникации на железопътни участъци и мерки за техническа помощ за подготовката/завършване на подготовката на инвестиционни проекти за развитие на железопътната инфраструктура по ТEN-T.</w:t>
      </w:r>
    </w:p>
    <w:p w:rsidR="007E360C" w:rsidRPr="00496FD7" w:rsidRDefault="007E360C" w:rsidP="007E360C">
      <w:pPr>
        <w:pStyle w:val="ListParagraph"/>
        <w:ind w:hanging="720"/>
        <w:rPr>
          <w:i/>
          <w:szCs w:val="24"/>
          <w:lang w:eastAsia="bg-BG"/>
        </w:rPr>
      </w:pPr>
    </w:p>
    <w:p w:rsidR="007E360C" w:rsidRPr="00496FD7" w:rsidRDefault="007E360C" w:rsidP="007E360C">
      <w:pPr>
        <w:spacing w:before="100"/>
        <w:ind w:firstLine="0"/>
        <w:rPr>
          <w:b/>
          <w:i/>
          <w:szCs w:val="24"/>
          <w:lang w:eastAsia="bg-BG"/>
        </w:rPr>
      </w:pPr>
      <w:r w:rsidRPr="00496FD7">
        <w:rPr>
          <w:b/>
          <w:i/>
          <w:szCs w:val="24"/>
          <w:lang w:eastAsia="bg-BG"/>
        </w:rPr>
        <w:t>Приоритет</w:t>
      </w:r>
      <w:r w:rsidRPr="00496FD7">
        <w:rPr>
          <w:b/>
          <w:i/>
          <w:szCs w:val="24"/>
          <w:lang w:val="en-US" w:eastAsia="bg-BG"/>
        </w:rPr>
        <w:t xml:space="preserve"> 2:</w:t>
      </w:r>
      <w:r w:rsidRPr="00496FD7">
        <w:rPr>
          <w:i/>
        </w:rPr>
        <w:t xml:space="preserve"> </w:t>
      </w:r>
      <w:r w:rsidRPr="00496FD7">
        <w:rPr>
          <w:b/>
          <w:i/>
          <w:szCs w:val="24"/>
          <w:lang w:eastAsia="bg-BG"/>
        </w:rPr>
        <w:t xml:space="preserve">допустими дейности по (ЕФРР): </w:t>
      </w:r>
      <w:r w:rsidRPr="00496FD7">
        <w:rPr>
          <w:i/>
          <w:szCs w:val="24"/>
          <w:lang w:eastAsia="bg-BG"/>
        </w:rPr>
        <w:t xml:space="preserve">изграждане и модернизация на участъци от пътната инфраструктура по „основната“ Трансевропейска транспортна мрежа, подобряване на свързаността и достъпността до Трансевропейската транспортна мрежа и важни икономически центрове (обекти на транспортната инфраструктура, индустриални </w:t>
      </w:r>
      <w:r w:rsidRPr="00496FD7">
        <w:rPr>
          <w:i/>
          <w:szCs w:val="24"/>
          <w:lang w:eastAsia="bg-BG"/>
        </w:rPr>
        <w:lastRenderedPageBreak/>
        <w:t>зони и др.), посредством строителство, реконструкция и рехабилитация на пътни връзки и техническа помощ за подготовката/завършване на подготовката за инвестиционни проекти за развитие на пътната инфраструктура по Трансевропейската транспортна мрежа и на пътните връзки. Предвижда се завършване на основните направления, в които вече е инвестирано в предходните програмни периоди, което ще осигури по-добра свързаност на транспортната мрежа и подобряване на връзките със съседните страни.</w:t>
      </w:r>
      <w:r w:rsidRPr="00496FD7">
        <w:rPr>
          <w:b/>
          <w:i/>
          <w:szCs w:val="24"/>
          <w:lang w:eastAsia="bg-BG"/>
        </w:rPr>
        <w:t xml:space="preserve"> </w:t>
      </w:r>
    </w:p>
    <w:p w:rsidR="007E360C" w:rsidRPr="00496FD7" w:rsidRDefault="007E360C" w:rsidP="007E360C">
      <w:pPr>
        <w:pStyle w:val="ListParagraph"/>
        <w:ind w:hanging="720"/>
        <w:rPr>
          <w:b/>
          <w:szCs w:val="24"/>
          <w:lang w:eastAsia="bg-BG"/>
        </w:rPr>
      </w:pPr>
    </w:p>
    <w:p w:rsidR="007E360C" w:rsidRPr="00496FD7" w:rsidRDefault="007E360C" w:rsidP="007E360C">
      <w:pPr>
        <w:spacing w:before="100"/>
        <w:ind w:firstLine="0"/>
        <w:rPr>
          <w:b/>
          <w:i/>
          <w:szCs w:val="24"/>
          <w:lang w:eastAsia="bg-BG"/>
        </w:rPr>
      </w:pPr>
      <w:r w:rsidRPr="00496FD7">
        <w:rPr>
          <w:b/>
          <w:i/>
          <w:szCs w:val="24"/>
          <w:lang w:eastAsia="bg-BG"/>
        </w:rPr>
        <w:t xml:space="preserve">Приоритет 2: допустими дейности по (КФ): </w:t>
      </w:r>
      <w:r w:rsidRPr="00496FD7">
        <w:rPr>
          <w:i/>
          <w:szCs w:val="24"/>
          <w:lang w:eastAsia="bg-BG"/>
        </w:rPr>
        <w:t>изграждане и модернизация на участъци от пътната инфраструктура по „основната“ Трансевропейска транспортна мрежа, подобряване на свързаността и достъпността до Трансевропейската транспортна мрежа и важни икономически центрове (обекти на транспортната инфраструктура, индустриални зони и др.), посредством строителство, реконструкция и рехабилитация на пътни връзки и техническа помощ за подготовката/завършване на подготовката за инвестиционни проекти за развитие на пътната инфраструктура по Трансевропейската транспортна мрежа и на пътните връзки. Предвижда се завършване на основните направления, в които вече е инвестирано в предходните програмни периоди, което ще осигури по-добра свързаност на транспортната мрежа и подобряване на връзките със съседните страни.</w:t>
      </w:r>
      <w:r w:rsidRPr="00496FD7">
        <w:rPr>
          <w:b/>
          <w:i/>
          <w:szCs w:val="24"/>
          <w:lang w:eastAsia="bg-BG"/>
        </w:rPr>
        <w:t xml:space="preserve"> </w:t>
      </w:r>
    </w:p>
    <w:p w:rsidR="007E360C" w:rsidRPr="00496FD7" w:rsidRDefault="007E360C" w:rsidP="007E360C">
      <w:pPr>
        <w:spacing w:before="100"/>
        <w:ind w:firstLine="0"/>
        <w:rPr>
          <w:b/>
          <w:i/>
          <w:szCs w:val="24"/>
          <w:lang w:eastAsia="bg-BG"/>
        </w:rPr>
      </w:pPr>
      <w:r w:rsidRPr="00496FD7">
        <w:rPr>
          <w:b/>
          <w:i/>
          <w:szCs w:val="24"/>
          <w:lang w:eastAsia="bg-BG"/>
        </w:rPr>
        <w:t xml:space="preserve">Приоритет 3: допустими дейности по КФ: </w:t>
      </w:r>
      <w:r w:rsidRPr="00496FD7">
        <w:rPr>
          <w:i/>
          <w:szCs w:val="24"/>
          <w:lang w:eastAsia="bg-BG"/>
        </w:rPr>
        <w:t xml:space="preserve">изграждане и реконструкция на гарови комплекси по протежение на главните железопътни линии, развитие на информационни системи в транспорта, надграждащи съществуващите системи и </w:t>
      </w:r>
      <w:r w:rsidRPr="00496FD7">
        <w:rPr>
          <w:i/>
          <w:noProof/>
          <w:color w:val="000000"/>
          <w:szCs w:val="24"/>
        </w:rPr>
        <w:t>системите</w:t>
      </w:r>
      <w:r w:rsidRPr="00496FD7">
        <w:rPr>
          <w:i/>
          <w:szCs w:val="24"/>
          <w:lang w:eastAsia="bg-BG"/>
        </w:rPr>
        <w:t xml:space="preserve"> в процес на изграждане, модернизация и изграждане на съоръжения за повишаване на безопасността на транспорта, мерки за техническа помощ за подготовката/завършване на подготовката на проектите. </w:t>
      </w:r>
    </w:p>
    <w:p w:rsidR="007E360C" w:rsidRPr="00496FD7" w:rsidRDefault="007E360C" w:rsidP="007E360C">
      <w:pPr>
        <w:spacing w:before="100"/>
        <w:ind w:firstLine="0"/>
        <w:rPr>
          <w:i/>
          <w:noProof/>
          <w:color w:val="000000"/>
          <w:szCs w:val="24"/>
        </w:rPr>
      </w:pPr>
      <w:r w:rsidRPr="00496FD7">
        <w:rPr>
          <w:b/>
          <w:i/>
          <w:noProof/>
          <w:color w:val="000000"/>
          <w:szCs w:val="24"/>
        </w:rPr>
        <w:t xml:space="preserve">Приоритет 3: допустими дейности по ЕФРР: </w:t>
      </w:r>
      <w:r w:rsidRPr="00496FD7">
        <w:rPr>
          <w:i/>
          <w:noProof/>
          <w:color w:val="000000"/>
          <w:szCs w:val="24"/>
        </w:rPr>
        <w:t>модернизация на терминали и пристанищни съоръжения за натоварване и претоварване, реконструкция на пристанища за обществен транспорт, електрификация и внедряване на сигнализация и телекомуникации, развитие на жп възлидоставка на мултифункционални плавателни съдове, мерки за ТП за проектите.</w:t>
      </w:r>
    </w:p>
    <w:p w:rsidR="007E360C" w:rsidRPr="00496FD7" w:rsidRDefault="007E360C" w:rsidP="007E360C">
      <w:pPr>
        <w:spacing w:before="100"/>
        <w:ind w:firstLine="0"/>
        <w:rPr>
          <w:b/>
          <w:i/>
          <w:szCs w:val="24"/>
          <w:lang w:eastAsia="bg-BG"/>
        </w:rPr>
      </w:pPr>
      <w:r w:rsidRPr="00496FD7">
        <w:rPr>
          <w:b/>
          <w:i/>
          <w:color w:val="000000"/>
        </w:rPr>
        <w:t>Приоритет 4:</w:t>
      </w:r>
      <w:r w:rsidRPr="00496FD7">
        <w:rPr>
          <w:b/>
          <w:i/>
          <w:szCs w:val="24"/>
          <w:lang w:eastAsia="bg-BG"/>
        </w:rPr>
        <w:t xml:space="preserve"> </w:t>
      </w:r>
      <w:r w:rsidRPr="00496FD7">
        <w:rPr>
          <w:i/>
          <w:szCs w:val="24"/>
          <w:lang w:eastAsia="bg-BG"/>
        </w:rPr>
        <w:t>допустими дейности</w:t>
      </w:r>
      <w:r w:rsidRPr="00496FD7">
        <w:rPr>
          <w:i/>
          <w:noProof/>
          <w:color w:val="000000"/>
          <w:szCs w:val="24"/>
        </w:rPr>
        <w:t xml:space="preserve"> по КФ</w:t>
      </w:r>
      <w:r w:rsidRPr="00496FD7">
        <w:rPr>
          <w:i/>
          <w:szCs w:val="24"/>
          <w:lang w:eastAsia="bg-BG"/>
        </w:rPr>
        <w:t xml:space="preserve">: изграждане на железопътни връзки към летища в градски условия, мерки за техническа помощ за подготовката/завършване на подготовката на </w:t>
      </w:r>
      <w:r w:rsidRPr="00496FD7">
        <w:rPr>
          <w:i/>
          <w:noProof/>
          <w:color w:val="000000"/>
          <w:szCs w:val="24"/>
        </w:rPr>
        <w:t>проектите</w:t>
      </w:r>
      <w:r w:rsidRPr="00496FD7">
        <w:rPr>
          <w:i/>
          <w:szCs w:val="24"/>
          <w:lang w:eastAsia="bg-BG"/>
        </w:rPr>
        <w:t>, включително за градска железница в Пловдив.</w:t>
      </w:r>
    </w:p>
    <w:p w:rsidR="007E360C" w:rsidRPr="00496FD7" w:rsidRDefault="007E360C" w:rsidP="007E360C">
      <w:pPr>
        <w:spacing w:before="100"/>
        <w:ind w:firstLine="0"/>
        <w:rPr>
          <w:i/>
          <w:color w:val="000000"/>
          <w:szCs w:val="24"/>
        </w:rPr>
      </w:pPr>
      <w:r w:rsidRPr="00496FD7">
        <w:rPr>
          <w:b/>
          <w:i/>
          <w:color w:val="000000"/>
          <w:szCs w:val="24"/>
        </w:rPr>
        <w:t xml:space="preserve">Приоритет 5 </w:t>
      </w:r>
      <w:r w:rsidRPr="00496FD7">
        <w:rPr>
          <w:i/>
          <w:color w:val="000000"/>
          <w:szCs w:val="24"/>
        </w:rPr>
        <w:t>„Техническа помощ“:</w:t>
      </w:r>
      <w:r w:rsidRPr="00496FD7">
        <w:rPr>
          <w:b/>
          <w:i/>
          <w:szCs w:val="24"/>
          <w:lang w:eastAsia="bg-BG"/>
        </w:rPr>
        <w:t xml:space="preserve"> </w:t>
      </w:r>
      <w:r w:rsidRPr="00496FD7">
        <w:rPr>
          <w:i/>
          <w:szCs w:val="24"/>
          <w:lang w:eastAsia="bg-BG"/>
        </w:rPr>
        <w:t>допустими дейности по КФ:</w:t>
      </w:r>
    </w:p>
    <w:p w:rsidR="007E360C" w:rsidRPr="00496FD7" w:rsidRDefault="007E360C" w:rsidP="007E360C">
      <w:pPr>
        <w:spacing w:before="100"/>
        <w:rPr>
          <w:color w:val="000000"/>
          <w:szCs w:val="24"/>
        </w:rPr>
      </w:pPr>
      <w:r w:rsidRPr="00496FD7">
        <w:rPr>
          <w:color w:val="000000"/>
          <w:szCs w:val="24"/>
        </w:rPr>
        <w:t>Предвидените дейности имат за цел да допринесат за постигане на специфичните цели на програмата, както и да осигурят устойчивост на административния капацитет на Управляващия орган, бенефициентите, социалните партньори и организации на гражданското общество, участващи в състава на Комитета за наблюдение на ПТС.</w:t>
      </w:r>
    </w:p>
    <w:p w:rsidR="007E360C" w:rsidRPr="00496FD7" w:rsidRDefault="007E360C" w:rsidP="007E360C">
      <w:pPr>
        <w:spacing w:before="100"/>
        <w:rPr>
          <w:color w:val="000000"/>
          <w:szCs w:val="24"/>
        </w:rPr>
      </w:pPr>
      <w:r w:rsidRPr="00496FD7">
        <w:rPr>
          <w:color w:val="000000"/>
          <w:szCs w:val="24"/>
        </w:rPr>
        <w:t>В рамките на приоритета ще бъде осигурена подкрепа за реализиране на следните дейности:  </w:t>
      </w:r>
    </w:p>
    <w:p w:rsidR="007E360C" w:rsidRPr="00496FD7" w:rsidRDefault="007E360C" w:rsidP="00E80472">
      <w:pPr>
        <w:numPr>
          <w:ilvl w:val="0"/>
          <w:numId w:val="95"/>
        </w:numPr>
        <w:spacing w:before="100"/>
        <w:rPr>
          <w:color w:val="000000"/>
          <w:szCs w:val="24"/>
        </w:rPr>
      </w:pPr>
      <w:r w:rsidRPr="00496FD7">
        <w:rPr>
          <w:color w:val="000000"/>
          <w:szCs w:val="24"/>
        </w:rPr>
        <w:t>извършване на специализирани дейности и подготовка на проучвания, анализи, и оценки във връзка с изпълнението на ПТС 2021-2027 г., приключването на ОПТТИ 2014-2020 г., както и подпомагане на подготовката на програмата за периода 2028-2034 г.;</w:t>
      </w:r>
    </w:p>
    <w:p w:rsidR="007E360C" w:rsidRPr="00496FD7" w:rsidRDefault="007E360C" w:rsidP="00E80472">
      <w:pPr>
        <w:numPr>
          <w:ilvl w:val="0"/>
          <w:numId w:val="95"/>
        </w:numPr>
        <w:spacing w:before="100"/>
        <w:rPr>
          <w:color w:val="000000"/>
          <w:szCs w:val="24"/>
        </w:rPr>
      </w:pPr>
      <w:r w:rsidRPr="00496FD7">
        <w:rPr>
          <w:color w:val="000000"/>
          <w:szCs w:val="24"/>
        </w:rPr>
        <w:t>изпълнение на предвидените комуникационни дейности и дейности по информация и публичност, във връзка с изпълнението на ПТС 2021-2027 г. и приключването на ОПТТИ 2014-2020 г.; провеждане на социологически проучвания;</w:t>
      </w:r>
    </w:p>
    <w:p w:rsidR="007E360C" w:rsidRPr="00496FD7" w:rsidRDefault="007E360C" w:rsidP="00E80472">
      <w:pPr>
        <w:numPr>
          <w:ilvl w:val="0"/>
          <w:numId w:val="95"/>
        </w:numPr>
        <w:spacing w:before="100"/>
        <w:rPr>
          <w:color w:val="000000"/>
          <w:szCs w:val="24"/>
        </w:rPr>
      </w:pPr>
      <w:r w:rsidRPr="00496FD7">
        <w:rPr>
          <w:color w:val="000000"/>
          <w:szCs w:val="24"/>
        </w:rPr>
        <w:lastRenderedPageBreak/>
        <w:t>обезпечаване на разходи за възнаграждения, допълнително заплащане и осигурителни вноски на служителите в Управляващия орган, в съответствие с регламентите на ЕС и разработените национални правила;</w:t>
      </w:r>
    </w:p>
    <w:p w:rsidR="007E360C" w:rsidRPr="00496FD7" w:rsidRDefault="007E360C" w:rsidP="00E80472">
      <w:pPr>
        <w:numPr>
          <w:ilvl w:val="0"/>
          <w:numId w:val="95"/>
        </w:numPr>
        <w:spacing w:before="100"/>
        <w:rPr>
          <w:color w:val="000000"/>
          <w:szCs w:val="24"/>
        </w:rPr>
      </w:pPr>
      <w:r w:rsidRPr="00496FD7">
        <w:rPr>
          <w:color w:val="000000"/>
          <w:szCs w:val="24"/>
        </w:rPr>
        <w:t>осигуряване на средства за настаняване и командировъчни за служителите, отговорни за управлението и изпълнението на дейностите по ПТСпри пътувания в страната и чужбина, във връзка с дейностите по програмата;</w:t>
      </w:r>
    </w:p>
    <w:p w:rsidR="007E360C" w:rsidRPr="00496FD7" w:rsidRDefault="007E360C" w:rsidP="00E80472">
      <w:pPr>
        <w:numPr>
          <w:ilvl w:val="0"/>
          <w:numId w:val="95"/>
        </w:numPr>
        <w:spacing w:before="100"/>
        <w:rPr>
          <w:color w:val="000000"/>
          <w:szCs w:val="24"/>
        </w:rPr>
      </w:pPr>
      <w:r w:rsidRPr="00496FD7">
        <w:rPr>
          <w:color w:val="000000"/>
          <w:szCs w:val="24"/>
        </w:rPr>
        <w:t>подготовка, организиране и провеждане на специализирани обучения /включително за Натура 2000, Защитените територии, принципа за „не нанасяне на значителни вреди“ и политиките, законодателството и добрите практики в областта на околната среда/, семинари, конференции и работни срещи на служителите в Управляващия орган, бенефициентите, представителите на социалните партньори и организации на гражданското общество, участващи в състава на Комитета за наблюдение на ПТС, в това число разходи за наемане на зали и оборудване, такси за обучители и обучителни курсове , подготовка и копиране на материали, писмен и устен превод, както и кетъринг;</w:t>
      </w:r>
    </w:p>
    <w:p w:rsidR="007E360C" w:rsidRPr="00496FD7" w:rsidRDefault="007E360C" w:rsidP="00E80472">
      <w:pPr>
        <w:numPr>
          <w:ilvl w:val="0"/>
          <w:numId w:val="95"/>
        </w:numPr>
        <w:spacing w:before="100"/>
        <w:rPr>
          <w:color w:val="000000"/>
          <w:szCs w:val="24"/>
        </w:rPr>
      </w:pPr>
      <w:r w:rsidRPr="00496FD7">
        <w:rPr>
          <w:color w:val="000000"/>
          <w:szCs w:val="24"/>
        </w:rPr>
        <w:t>постепенно изграждане на бази данни, разработване на програма за укрепване на устойчивостта на транспортната мрежа на екстремни климатични събития и актуализиране на насоките за проектиране; оценка на нуждите от обучение и изпълнение на програми за обучение в областта на климатичните промени и мерките за адаптиране към изменението на климата, в съответствие с препоръките на</w:t>
      </w:r>
      <w:r w:rsidRPr="00496FD7">
        <w:rPr>
          <w:b/>
          <w:bCs/>
          <w:i/>
          <w:iCs/>
          <w:color w:val="000000"/>
          <w:szCs w:val="24"/>
        </w:rPr>
        <w:t xml:space="preserve"> </w:t>
      </w:r>
      <w:r w:rsidRPr="00496FD7">
        <w:rPr>
          <w:color w:val="000000"/>
          <w:szCs w:val="24"/>
        </w:rPr>
        <w:t>Национална Стратегия за адаптация към изменението на климата и План за действие;</w:t>
      </w:r>
    </w:p>
    <w:p w:rsidR="007E360C" w:rsidRPr="00496FD7" w:rsidRDefault="007E360C" w:rsidP="00E80472">
      <w:pPr>
        <w:numPr>
          <w:ilvl w:val="0"/>
          <w:numId w:val="95"/>
        </w:numPr>
        <w:spacing w:before="100"/>
        <w:rPr>
          <w:color w:val="000000"/>
          <w:szCs w:val="24"/>
        </w:rPr>
      </w:pPr>
      <w:r w:rsidRPr="00496FD7">
        <w:rPr>
          <w:color w:val="000000"/>
          <w:szCs w:val="24"/>
        </w:rPr>
        <w:t>оптимизация на правила и процедури за намаляване на административната тежест за бенефициентите;</w:t>
      </w:r>
    </w:p>
    <w:p w:rsidR="007E360C" w:rsidRPr="00496FD7" w:rsidRDefault="007E360C" w:rsidP="00E80472">
      <w:pPr>
        <w:numPr>
          <w:ilvl w:val="0"/>
          <w:numId w:val="95"/>
        </w:numPr>
        <w:spacing w:before="100"/>
        <w:rPr>
          <w:color w:val="000000"/>
          <w:szCs w:val="24"/>
        </w:rPr>
      </w:pPr>
      <w:r w:rsidRPr="00496FD7">
        <w:rPr>
          <w:color w:val="000000"/>
          <w:szCs w:val="24"/>
        </w:rPr>
        <w:t>подобряване на материално-техническата база, включително и наем, лизинг, покупка и/или застраховане на оборудване, необходимо на служителите на УО и на бенефициентите да извършват дейностите си по ПТС;</w:t>
      </w:r>
    </w:p>
    <w:p w:rsidR="007E360C" w:rsidRPr="00496FD7" w:rsidRDefault="007E360C" w:rsidP="00E80472">
      <w:pPr>
        <w:numPr>
          <w:ilvl w:val="0"/>
          <w:numId w:val="95"/>
        </w:numPr>
        <w:spacing w:before="100"/>
        <w:rPr>
          <w:color w:val="000000"/>
          <w:szCs w:val="24"/>
        </w:rPr>
      </w:pPr>
      <w:r w:rsidRPr="00496FD7">
        <w:rPr>
          <w:color w:val="000000"/>
          <w:szCs w:val="24"/>
        </w:rPr>
        <w:t>организация на дейността на Комитета за наблюдение на ПТС, на заседанията на под-комитетите за наблюдение, в случай че бъдат създадени (включително административни и логистични разходи), както и провеждане на заключителните заседания на Комитета за наблюдение на ОПТТИ 2014-2020;</w:t>
      </w:r>
    </w:p>
    <w:p w:rsidR="007E360C" w:rsidRPr="00496FD7" w:rsidRDefault="007E360C" w:rsidP="00E80472">
      <w:pPr>
        <w:numPr>
          <w:ilvl w:val="0"/>
          <w:numId w:val="95"/>
        </w:numPr>
        <w:spacing w:before="100"/>
        <w:rPr>
          <w:color w:val="000000"/>
          <w:szCs w:val="24"/>
        </w:rPr>
      </w:pPr>
      <w:r w:rsidRPr="00496FD7">
        <w:rPr>
          <w:color w:val="000000"/>
          <w:szCs w:val="24"/>
        </w:rPr>
        <w:t>осигуряване на специализирана външна експертиза и помощ от международни финансови институции в специфични области като разработване на секторни политики, подкрепа в управлението на проекти и др;</w:t>
      </w:r>
    </w:p>
    <w:p w:rsidR="007E360C" w:rsidRPr="00496FD7" w:rsidRDefault="007E360C" w:rsidP="00E80472">
      <w:pPr>
        <w:numPr>
          <w:ilvl w:val="0"/>
          <w:numId w:val="95"/>
        </w:numPr>
        <w:spacing w:before="100"/>
        <w:rPr>
          <w:color w:val="000000"/>
          <w:szCs w:val="24"/>
        </w:rPr>
      </w:pPr>
      <w:r w:rsidRPr="00496FD7">
        <w:rPr>
          <w:color w:val="000000"/>
          <w:szCs w:val="24"/>
        </w:rPr>
        <w:t>разработване на методика за управление на дейностите по републиканските пътища (обследване, анализ, планиране);</w:t>
      </w:r>
    </w:p>
    <w:p w:rsidR="007E360C" w:rsidRPr="00496FD7" w:rsidRDefault="007E360C" w:rsidP="00E80472">
      <w:pPr>
        <w:numPr>
          <w:ilvl w:val="0"/>
          <w:numId w:val="95"/>
        </w:numPr>
        <w:spacing w:before="100"/>
        <w:rPr>
          <w:color w:val="000000"/>
          <w:szCs w:val="24"/>
        </w:rPr>
      </w:pPr>
      <w:r w:rsidRPr="00496FD7">
        <w:rPr>
          <w:color w:val="000000"/>
          <w:szCs w:val="24"/>
        </w:rPr>
        <w:t>„Укрепване на капацитета за предотвратяване, на откриване, докладване и проследяване на нередности и измами, засягащи фондовете, включително чрез:</w:t>
      </w:r>
    </w:p>
    <w:p w:rsidR="007E360C" w:rsidRPr="00496FD7" w:rsidRDefault="007E360C" w:rsidP="007E360C">
      <w:pPr>
        <w:spacing w:before="100"/>
        <w:rPr>
          <w:color w:val="000000"/>
          <w:szCs w:val="24"/>
        </w:rPr>
      </w:pPr>
      <w:r w:rsidRPr="00496FD7">
        <w:rPr>
          <w:color w:val="000000"/>
          <w:szCs w:val="24"/>
        </w:rPr>
        <w:t>- докладване в IMS за всяка открита нередност или измама, когато това се дължи съгласно приложимите изисквания за докладване, включително тези, произтичащи от случаи / препоръки на OLAF, и редовно актуализиране на всички IMS уведомления;</w:t>
      </w:r>
    </w:p>
    <w:p w:rsidR="007E360C" w:rsidRPr="00496FD7" w:rsidRDefault="007E360C" w:rsidP="007E360C">
      <w:pPr>
        <w:spacing w:before="100"/>
        <w:rPr>
          <w:color w:val="000000"/>
          <w:szCs w:val="24"/>
        </w:rPr>
      </w:pPr>
      <w:r w:rsidRPr="00496FD7">
        <w:rPr>
          <w:color w:val="000000"/>
          <w:szCs w:val="24"/>
        </w:rPr>
        <w:t xml:space="preserve">- разработване на политика или изявление за борба с измамите и годишни планове на програмно ниво, в съответствие с Националната стратегия за борба с измамите (NAFS), т.е. </w:t>
      </w:r>
      <w:r w:rsidRPr="00496FD7">
        <w:rPr>
          <w:color w:val="000000"/>
          <w:szCs w:val="24"/>
        </w:rPr>
        <w:lastRenderedPageBreak/>
        <w:t>Националната стратегия за предотвратяване и борба с нередностите и измамите, засягащи финансовите интереси на Европейския съюз</w:t>
      </w:r>
    </w:p>
    <w:p w:rsidR="007E360C" w:rsidRPr="00496FD7" w:rsidRDefault="007E360C" w:rsidP="007E360C">
      <w:pPr>
        <w:spacing w:before="100"/>
        <w:rPr>
          <w:color w:val="000000"/>
          <w:szCs w:val="24"/>
        </w:rPr>
      </w:pPr>
      <w:r w:rsidRPr="00496FD7">
        <w:rPr>
          <w:color w:val="000000"/>
          <w:szCs w:val="24"/>
        </w:rPr>
        <w:t>- за периода 2021 - 2027 г. (NAFS,), приет с Решение 833 от 12 ноември 2020 г. на Министерския съвет, и годишните планове за неговото изпълнение;</w:t>
      </w:r>
    </w:p>
    <w:p w:rsidR="007E360C" w:rsidRPr="00496FD7" w:rsidRDefault="007E360C" w:rsidP="007E360C">
      <w:pPr>
        <w:spacing w:before="100"/>
        <w:rPr>
          <w:color w:val="000000"/>
          <w:szCs w:val="24"/>
        </w:rPr>
      </w:pPr>
      <w:r w:rsidRPr="00496FD7">
        <w:rPr>
          <w:color w:val="000000"/>
          <w:szCs w:val="24"/>
        </w:rPr>
        <w:t>пълноценно използване на наличните инструменти за извличане на данни, като Arachne. "</w:t>
      </w:r>
    </w:p>
    <w:p w:rsidR="007E360C" w:rsidRPr="00496FD7" w:rsidRDefault="007E360C" w:rsidP="00E80472">
      <w:pPr>
        <w:numPr>
          <w:ilvl w:val="0"/>
          <w:numId w:val="96"/>
        </w:numPr>
        <w:spacing w:before="100"/>
        <w:rPr>
          <w:color w:val="000000"/>
          <w:szCs w:val="24"/>
        </w:rPr>
      </w:pPr>
      <w:r w:rsidRPr="00496FD7">
        <w:rPr>
          <w:color w:val="000000"/>
          <w:szCs w:val="24"/>
        </w:rPr>
        <w:t>подготовка и актуализация на стратегически и програмни документи в областта на транспорта, средносрочен преглед и актуализация на Интегрираната транспортна стратегия на Република България, актуализация на транспортния модел и др. в съответствие с новите тенденции в европейската и националната политики и съобразно препоръки на ЕК, включително план за мониторинг на околната среда за изпълнението на ПТС 2021-2027 и наръчник за подготовка и изпълнение на мерки за смекчаване на негативното въздействие върху околната среда при реализацията на инфраструктурните проекти по ПТС 2021-2027; разработване на планове за действие съгласно Регламент (ЕС) 1143/2014, относно предотвратяването и управлението на въвеждането и разпространението на инвазивни чужди видове, основани на предварителен анализ, на основните пътища на навлизане и транспорт /въвеждане и разпространение/ на случайно попаднали чужди видове - растения, гъби и животни, от значение за България и ЕС, напр. със: самолети, водоплавателни съдове, баластна вода, обраствания по корпуса на плавателни средства, МСП, влакове и др.; </w:t>
      </w:r>
    </w:p>
    <w:p w:rsidR="007E360C" w:rsidRPr="00496FD7" w:rsidRDefault="007E360C" w:rsidP="00E80472">
      <w:pPr>
        <w:numPr>
          <w:ilvl w:val="0"/>
          <w:numId w:val="96"/>
        </w:numPr>
        <w:spacing w:before="100"/>
        <w:rPr>
          <w:color w:val="000000"/>
          <w:szCs w:val="24"/>
        </w:rPr>
      </w:pPr>
      <w:r w:rsidRPr="00496FD7">
        <w:rPr>
          <w:color w:val="000000"/>
          <w:szCs w:val="24"/>
        </w:rPr>
        <w:t>подготовка на проучване за модернизация/развитие на терминали/пристанищни съоръжения в България, включително подготовка на схема за модернизация/развитие на терминали/пристанищни съоръжения в България;</w:t>
      </w:r>
    </w:p>
    <w:p w:rsidR="007E360C" w:rsidRPr="00496FD7" w:rsidRDefault="007E360C" w:rsidP="00E80472">
      <w:pPr>
        <w:numPr>
          <w:ilvl w:val="0"/>
          <w:numId w:val="96"/>
        </w:numPr>
        <w:spacing w:before="100"/>
        <w:rPr>
          <w:color w:val="000000"/>
          <w:szCs w:val="24"/>
        </w:rPr>
      </w:pPr>
      <w:r w:rsidRPr="00496FD7">
        <w:rPr>
          <w:color w:val="000000"/>
          <w:szCs w:val="24"/>
        </w:rPr>
        <w:t>подготовка на проучвания за развитието на комбинирания транспорт в България като: изследване на международни релации за комбиниран транспорт, разработване на схема за осигуряване на интермодални транспортни единици, проучване за изграждане на логистични центрове/товарни селища и др.;</w:t>
      </w:r>
    </w:p>
    <w:p w:rsidR="007E360C" w:rsidRPr="00496FD7" w:rsidRDefault="007E360C" w:rsidP="00E80472">
      <w:pPr>
        <w:numPr>
          <w:ilvl w:val="0"/>
          <w:numId w:val="97"/>
        </w:numPr>
        <w:spacing w:before="100"/>
        <w:rPr>
          <w:color w:val="000000"/>
          <w:szCs w:val="24"/>
        </w:rPr>
      </w:pPr>
      <w:r w:rsidRPr="00496FD7">
        <w:rPr>
          <w:color w:val="000000"/>
          <w:szCs w:val="24"/>
        </w:rPr>
        <w:t>разработване и прилагане на ефективни и пропорционални мерки и процедури за борба с измамите на УО и бенефициентите, при отчитане на идентифицираните рискове;</w:t>
      </w:r>
    </w:p>
    <w:p w:rsidR="007E360C" w:rsidRPr="00496FD7" w:rsidRDefault="007E360C" w:rsidP="00E80472">
      <w:pPr>
        <w:numPr>
          <w:ilvl w:val="0"/>
          <w:numId w:val="97"/>
        </w:numPr>
        <w:spacing w:before="100"/>
        <w:rPr>
          <w:color w:val="000000"/>
          <w:szCs w:val="24"/>
        </w:rPr>
      </w:pPr>
      <w:r w:rsidRPr="00496FD7">
        <w:rPr>
          <w:color w:val="000000"/>
          <w:szCs w:val="24"/>
        </w:rPr>
        <w:t>мерки за превенция, откриване и коригиране на нередности, включително конфликта на интереси и корупцията в УО и бенефициентите по ПТС;</w:t>
      </w:r>
    </w:p>
    <w:p w:rsidR="007E360C" w:rsidRPr="00496FD7" w:rsidRDefault="007E360C" w:rsidP="00E80472">
      <w:pPr>
        <w:numPr>
          <w:ilvl w:val="0"/>
          <w:numId w:val="97"/>
        </w:numPr>
        <w:spacing w:before="100"/>
        <w:rPr>
          <w:color w:val="000000"/>
          <w:szCs w:val="24"/>
        </w:rPr>
      </w:pPr>
      <w:r w:rsidRPr="00496FD7">
        <w:rPr>
          <w:color w:val="000000"/>
          <w:szCs w:val="24"/>
        </w:rPr>
        <w:t>осигуряване на подкрепа за подготовката на проекти в транспортния сектор;</w:t>
      </w:r>
    </w:p>
    <w:p w:rsidR="007E360C" w:rsidRPr="00496FD7" w:rsidRDefault="007E360C" w:rsidP="00E80472">
      <w:pPr>
        <w:numPr>
          <w:ilvl w:val="0"/>
          <w:numId w:val="97"/>
        </w:numPr>
        <w:spacing w:before="100"/>
        <w:rPr>
          <w:color w:val="000000"/>
          <w:szCs w:val="24"/>
        </w:rPr>
      </w:pPr>
      <w:r w:rsidRPr="00496FD7">
        <w:rPr>
          <w:color w:val="000000"/>
          <w:szCs w:val="24"/>
        </w:rPr>
        <w:t>провеждане на информационни кампании за популяризиране на инвестициите в транспорта и за повишаване на информираността за рисковите фактори, свързани с безопасността на движението по пътищата;</w:t>
      </w:r>
    </w:p>
    <w:p w:rsidR="007E360C" w:rsidRPr="00496FD7" w:rsidRDefault="007E360C" w:rsidP="00E80472">
      <w:pPr>
        <w:numPr>
          <w:ilvl w:val="0"/>
          <w:numId w:val="97"/>
        </w:numPr>
        <w:spacing w:before="100"/>
        <w:rPr>
          <w:color w:val="000000"/>
          <w:szCs w:val="24"/>
        </w:rPr>
      </w:pPr>
      <w:r w:rsidRPr="00496FD7">
        <w:rPr>
          <w:color w:val="000000"/>
          <w:szCs w:val="24"/>
        </w:rPr>
        <w:t>разработване на документи и мерки за подобряване на реда, изискванията, организацията, условията и начина на провеждане на обучението за придобиване на правоспособност за управление на МПС и провеждане на изпитите на кандидатите.</w:t>
      </w:r>
    </w:p>
    <w:p w:rsidR="007E360C" w:rsidRPr="00496FD7" w:rsidRDefault="007E360C" w:rsidP="007E360C">
      <w:pPr>
        <w:rPr>
          <w:szCs w:val="24"/>
          <w:lang w:eastAsia="bg-BG"/>
        </w:rPr>
      </w:pPr>
    </w:p>
    <w:p w:rsidR="007E360C" w:rsidRPr="00496FD7" w:rsidRDefault="007E360C" w:rsidP="007E360C">
      <w:pPr>
        <w:pStyle w:val="Style2"/>
        <w:rPr>
          <w:lang w:val="bg-BG"/>
        </w:rPr>
      </w:pPr>
      <w:bookmarkStart w:id="19" w:name="_Ref406166578"/>
      <w:r w:rsidRPr="00496FD7">
        <w:rPr>
          <w:lang w:val="bg-BG"/>
        </w:rPr>
        <w:t xml:space="preserve"> </w:t>
      </w:r>
      <w:bookmarkStart w:id="20" w:name="_Ref410299116"/>
      <w:bookmarkStart w:id="21" w:name="_Toc479775609"/>
      <w:bookmarkStart w:id="22" w:name="_Toc140150196"/>
      <w:bookmarkStart w:id="23" w:name="_Toc152769878"/>
      <w:r w:rsidRPr="00496FD7">
        <w:rPr>
          <w:lang w:val="bg-BG"/>
        </w:rPr>
        <w:t xml:space="preserve">Допустимост на разходите </w:t>
      </w:r>
      <w:bookmarkEnd w:id="19"/>
      <w:r w:rsidRPr="00496FD7">
        <w:rPr>
          <w:lang w:val="bg-BG"/>
        </w:rPr>
        <w:t>по ПТС 2021-2027 г.</w:t>
      </w:r>
      <w:bookmarkEnd w:id="20"/>
      <w:bookmarkEnd w:id="21"/>
      <w:bookmarkEnd w:id="22"/>
      <w:bookmarkEnd w:id="23"/>
    </w:p>
    <w:p w:rsidR="007E360C" w:rsidRPr="00496FD7" w:rsidRDefault="007E360C" w:rsidP="007E360C">
      <w:pPr>
        <w:pStyle w:val="Normal1"/>
        <w:spacing w:before="134" w:beforeAutospacing="0" w:after="0" w:afterAutospacing="0"/>
        <w:rPr>
          <w:b/>
          <w:highlight w:val="yellow"/>
          <w:u w:val="single"/>
        </w:rPr>
      </w:pPr>
    </w:p>
    <w:p w:rsidR="007E360C" w:rsidRPr="00496FD7" w:rsidRDefault="007E360C" w:rsidP="007E360C">
      <w:pPr>
        <w:ind w:firstLine="708"/>
        <w:rPr>
          <w:szCs w:val="24"/>
        </w:rPr>
      </w:pPr>
      <w:r w:rsidRPr="00496FD7">
        <w:rPr>
          <w:szCs w:val="24"/>
        </w:rPr>
        <w:lastRenderedPageBreak/>
        <w:t>Допустимостта на разходите се определя въз основа на националните правила, освен в случаите, в които са определени специални правила във или въз основа на Регламент 2021/1060  или Регламент 2021/1058.</w:t>
      </w:r>
    </w:p>
    <w:p w:rsidR="007E360C" w:rsidRPr="00496FD7" w:rsidRDefault="007E360C" w:rsidP="007E360C">
      <w:pPr>
        <w:pStyle w:val="Normal1"/>
        <w:spacing w:before="134" w:beforeAutospacing="0" w:after="0" w:afterAutospacing="0"/>
        <w:rPr>
          <w:b/>
          <w:u w:val="single"/>
          <w:lang w:val="en-US"/>
        </w:rPr>
      </w:pPr>
    </w:p>
    <w:p w:rsidR="007E360C" w:rsidRPr="00496FD7" w:rsidRDefault="007E360C" w:rsidP="007E360C">
      <w:pPr>
        <w:pStyle w:val="Normal1"/>
        <w:spacing w:before="134" w:beforeAutospacing="0" w:after="0" w:afterAutospacing="0"/>
        <w:ind w:firstLine="0"/>
        <w:rPr>
          <w:b/>
          <w:u w:val="single"/>
        </w:rPr>
      </w:pPr>
      <w:r w:rsidRPr="00496FD7">
        <w:rPr>
          <w:b/>
          <w:u w:val="single"/>
        </w:rPr>
        <w:t>Национални правила за допустимост на разходите по оперативните програми</w:t>
      </w:r>
    </w:p>
    <w:p w:rsidR="007E360C" w:rsidRPr="00496FD7" w:rsidRDefault="007E360C" w:rsidP="007E360C">
      <w:pPr>
        <w:pStyle w:val="Normal1"/>
        <w:spacing w:before="134" w:beforeAutospacing="0" w:after="0" w:afterAutospacing="0"/>
      </w:pPr>
      <w:r w:rsidRPr="00496FD7">
        <w:t>С Постановление № 86 на Министерския съвет от 01 юни 2023 година са определени национални правила за допустимост на разходите по програмите, финансирани от Европейските фондове при споделено управление, за програмен период 2021 – 2027 г.</w:t>
      </w:r>
    </w:p>
    <w:p w:rsidR="007E360C" w:rsidRPr="00496FD7" w:rsidRDefault="007E360C" w:rsidP="007E360C">
      <w:pPr>
        <w:ind w:firstLine="709"/>
        <w:rPr>
          <w:b/>
          <w:szCs w:val="24"/>
          <w:u w:val="single"/>
          <w:lang w:eastAsia="bg-BG"/>
        </w:rPr>
      </w:pPr>
    </w:p>
    <w:p w:rsidR="007E360C" w:rsidRPr="00496FD7" w:rsidRDefault="007E360C" w:rsidP="007E360C">
      <w:pPr>
        <w:ind w:firstLine="0"/>
        <w:rPr>
          <w:b/>
          <w:szCs w:val="24"/>
          <w:u w:val="single"/>
          <w:lang w:eastAsia="bg-BG"/>
        </w:rPr>
      </w:pPr>
      <w:r w:rsidRPr="00496FD7">
        <w:rPr>
          <w:b/>
          <w:szCs w:val="24"/>
          <w:u w:val="single"/>
          <w:lang w:eastAsia="bg-BG"/>
        </w:rPr>
        <w:t>Детайлни правила за  допустимост на разходите по ПТС</w:t>
      </w:r>
    </w:p>
    <w:p w:rsidR="007E360C" w:rsidRPr="00496FD7" w:rsidRDefault="007E360C" w:rsidP="007E360C">
      <w:pPr>
        <w:ind w:firstLine="0"/>
        <w:rPr>
          <w:b/>
          <w:szCs w:val="24"/>
          <w:u w:val="single"/>
          <w:lang w:eastAsia="bg-BG"/>
        </w:rPr>
      </w:pPr>
    </w:p>
    <w:p w:rsidR="007E360C" w:rsidRPr="00496FD7" w:rsidRDefault="007E360C" w:rsidP="007E360C">
      <w:pPr>
        <w:spacing w:after="240"/>
        <w:rPr>
          <w:szCs w:val="24"/>
        </w:rPr>
      </w:pPr>
      <w:r w:rsidRPr="00496FD7">
        <w:rPr>
          <w:szCs w:val="24"/>
        </w:rPr>
        <w:t>Допустими по ПТС са следните разходи:</w:t>
      </w:r>
    </w:p>
    <w:p w:rsidR="007E360C" w:rsidRPr="00496FD7" w:rsidRDefault="007E360C" w:rsidP="00E80472">
      <w:pPr>
        <w:pStyle w:val="ListParagraph"/>
        <w:numPr>
          <w:ilvl w:val="0"/>
          <w:numId w:val="98"/>
        </w:numPr>
        <w:ind w:right="142"/>
        <w:rPr>
          <w:szCs w:val="24"/>
        </w:rPr>
      </w:pPr>
      <w:r w:rsidRPr="00496FD7">
        <w:rPr>
          <w:szCs w:val="24"/>
          <w:lang w:eastAsia="bg-BG"/>
        </w:rPr>
        <w:t>Разходи</w:t>
      </w:r>
      <w:r w:rsidRPr="00496FD7">
        <w:rPr>
          <w:szCs w:val="24"/>
        </w:rPr>
        <w:t xml:space="preserve">, свързани с изпълнението на </w:t>
      </w:r>
      <w:r w:rsidRPr="00EF15E3">
        <w:rPr>
          <w:szCs w:val="24"/>
        </w:rPr>
        <w:t>посочените в т. 1.2 дейности</w:t>
      </w:r>
      <w:r w:rsidRPr="00496FD7">
        <w:rPr>
          <w:szCs w:val="24"/>
        </w:rPr>
        <w:t>, допустими за финансиране по съответните приоритети по ПТС.</w:t>
      </w:r>
    </w:p>
    <w:p w:rsidR="007E360C" w:rsidRPr="00496FD7" w:rsidRDefault="007E360C" w:rsidP="00E80472">
      <w:pPr>
        <w:pStyle w:val="ListParagraph"/>
        <w:numPr>
          <w:ilvl w:val="0"/>
          <w:numId w:val="98"/>
        </w:numPr>
        <w:ind w:right="142"/>
        <w:rPr>
          <w:szCs w:val="24"/>
          <w:lang w:eastAsia="bg-BG"/>
        </w:rPr>
      </w:pPr>
      <w:r w:rsidRPr="00496FD7">
        <w:rPr>
          <w:szCs w:val="24"/>
          <w:lang w:eastAsia="bg-BG"/>
        </w:rPr>
        <w:t xml:space="preserve">За дейности, определени и извършени под отговорността на управляващ орган на ПТС и съгласно критериите за подбор на операции, одобрени от Комитет за наблюдение на ПТС; </w:t>
      </w:r>
    </w:p>
    <w:p w:rsidR="007E360C" w:rsidRPr="00496FD7" w:rsidRDefault="007E360C" w:rsidP="00E80472">
      <w:pPr>
        <w:pStyle w:val="ListParagraph"/>
        <w:numPr>
          <w:ilvl w:val="0"/>
          <w:numId w:val="98"/>
        </w:numPr>
        <w:ind w:right="142"/>
        <w:rPr>
          <w:szCs w:val="24"/>
          <w:lang w:eastAsia="bg-BG"/>
        </w:rPr>
      </w:pPr>
      <w:r w:rsidRPr="00496FD7">
        <w:rPr>
          <w:szCs w:val="24"/>
          <w:lang w:eastAsia="bg-BG"/>
        </w:rPr>
        <w:t xml:space="preserve">Да са извършени от допустим по съответния приоритет на ПТС бенефициент; </w:t>
      </w:r>
    </w:p>
    <w:p w:rsidR="007E360C" w:rsidRPr="00496FD7" w:rsidRDefault="007E360C" w:rsidP="00E80472">
      <w:pPr>
        <w:pStyle w:val="ListParagraph"/>
        <w:numPr>
          <w:ilvl w:val="0"/>
          <w:numId w:val="98"/>
        </w:numPr>
        <w:ind w:right="142"/>
        <w:rPr>
          <w:szCs w:val="24"/>
          <w:lang w:eastAsia="bg-BG"/>
        </w:rPr>
      </w:pPr>
      <w:r w:rsidRPr="00496FD7">
        <w:rPr>
          <w:szCs w:val="24"/>
          <w:lang w:eastAsia="bg-BG"/>
        </w:rPr>
        <w:t xml:space="preserve">Категориите разходи да са включени в договора за предоставяне на финансова подкрепа; </w:t>
      </w:r>
    </w:p>
    <w:p w:rsidR="007E360C" w:rsidRPr="00496FD7" w:rsidRDefault="007E360C" w:rsidP="00E80472">
      <w:pPr>
        <w:pStyle w:val="ListParagraph"/>
        <w:numPr>
          <w:ilvl w:val="0"/>
          <w:numId w:val="98"/>
        </w:numPr>
        <w:ind w:right="142"/>
        <w:rPr>
          <w:szCs w:val="24"/>
          <w:lang w:eastAsia="bg-BG"/>
        </w:rPr>
      </w:pPr>
      <w:r w:rsidRPr="00496FD7">
        <w:rPr>
          <w:szCs w:val="24"/>
          <w:lang w:eastAsia="bg-BG"/>
        </w:rPr>
        <w:t xml:space="preserve">Изборът на изпълнител за реализираните дейности (СМР, услуги и/или доставки) да е извършен в съответствие с действащото национално и с европейското законодателство за възлагане на обществени поръчки. </w:t>
      </w:r>
    </w:p>
    <w:p w:rsidR="007E360C" w:rsidRPr="00496FD7" w:rsidRDefault="007E360C" w:rsidP="00E80472">
      <w:pPr>
        <w:pStyle w:val="ListParagraph"/>
        <w:numPr>
          <w:ilvl w:val="0"/>
          <w:numId w:val="98"/>
        </w:numPr>
        <w:ind w:right="142"/>
        <w:rPr>
          <w:szCs w:val="24"/>
          <w:lang w:eastAsia="bg-BG"/>
        </w:rPr>
      </w:pPr>
      <w:r w:rsidRPr="00496FD7">
        <w:rPr>
          <w:szCs w:val="24"/>
          <w:lang w:eastAsia="bg-BG"/>
        </w:rPr>
        <w:t>За тях да е налична адекватна одитна следа, включително да са спазени разпоредбите за наличност на документите по чл. 69, пар. 6 от Регламент (ЕС) 2021/1060 на Европейския парламент и на Съвета от 24 юни 2021 година и Приложение XIII към него, в съответствие с чл. 57, ал. 1, т. 7 от ЗУСЕФСУ, включително да са спазени изискванията за съхраняване на документите по чл. 82 от Регламент (ЕС) 2021/1060.</w:t>
      </w:r>
    </w:p>
    <w:p w:rsidR="007E360C" w:rsidRPr="00496FD7" w:rsidRDefault="007E360C" w:rsidP="00E80472">
      <w:pPr>
        <w:pStyle w:val="ListParagraph"/>
        <w:numPr>
          <w:ilvl w:val="0"/>
          <w:numId w:val="98"/>
        </w:numPr>
        <w:ind w:right="142"/>
        <w:rPr>
          <w:szCs w:val="24"/>
          <w:lang w:eastAsia="bg-BG"/>
        </w:rPr>
      </w:pPr>
      <w:r w:rsidRPr="00496FD7">
        <w:rPr>
          <w:szCs w:val="24"/>
          <w:lang w:eastAsia="bg-BG"/>
        </w:rPr>
        <w:t xml:space="preserve">Да са отразени в счетоводната документация на бенефициента чрез отделни счетоводни аналитични сметки или в отделна счетоводна система; </w:t>
      </w:r>
    </w:p>
    <w:p w:rsidR="007E360C" w:rsidRPr="00496FD7" w:rsidRDefault="007E360C" w:rsidP="00E80472">
      <w:pPr>
        <w:pStyle w:val="ListParagraph"/>
        <w:numPr>
          <w:ilvl w:val="0"/>
          <w:numId w:val="98"/>
        </w:numPr>
        <w:spacing w:after="120"/>
        <w:rPr>
          <w:szCs w:val="24"/>
        </w:rPr>
      </w:pPr>
      <w:r w:rsidRPr="00496FD7">
        <w:rPr>
          <w:szCs w:val="24"/>
        </w:rPr>
        <w:t>Да могат да се установят и проверят, да бъдат подкрепени от оригинални разходо-оправдателни документи.</w:t>
      </w:r>
    </w:p>
    <w:p w:rsidR="007E360C" w:rsidRPr="00496FD7" w:rsidRDefault="007E360C" w:rsidP="00E80472">
      <w:pPr>
        <w:pStyle w:val="ListParagraph"/>
        <w:numPr>
          <w:ilvl w:val="0"/>
          <w:numId w:val="98"/>
        </w:numPr>
        <w:ind w:right="142"/>
        <w:rPr>
          <w:szCs w:val="24"/>
          <w:lang w:eastAsia="bg-BG"/>
        </w:rPr>
      </w:pPr>
      <w:r w:rsidRPr="00496FD7">
        <w:rPr>
          <w:szCs w:val="24"/>
          <w:lang w:eastAsia="bg-BG"/>
        </w:rPr>
        <w:t>Да са извършени за съфинансирани продукти и услуги, които са реално доставени, съобразно предварително заложените в договора за предоставяне на финансова подкрепа изисквания. Да са действително платени (т.е. да е платена цялата стойност на представените фактури или други първични счетоводни документи, включително стойността на ДДС), по банков път или в брой, не по-късно от датата на подаване на междинния/финалния отчет по проекта от страна на бенефициента. Разходи, подкрепени с протоколи за прихващане, не се считат за допустими;</w:t>
      </w:r>
    </w:p>
    <w:p w:rsidR="007E360C" w:rsidRPr="00496FD7" w:rsidRDefault="007E360C" w:rsidP="00E80472">
      <w:pPr>
        <w:pStyle w:val="ListParagraph"/>
        <w:numPr>
          <w:ilvl w:val="0"/>
          <w:numId w:val="98"/>
        </w:numPr>
        <w:ind w:right="142"/>
        <w:rPr>
          <w:szCs w:val="24"/>
          <w:lang w:eastAsia="bg-BG"/>
        </w:rPr>
      </w:pPr>
      <w:r w:rsidRPr="00496FD7">
        <w:rPr>
          <w:szCs w:val="24"/>
          <w:lang w:eastAsia="bg-BG"/>
        </w:rPr>
        <w:t>В случаите, когато обект на финансиране са мерки и операции, попадащи в обхвата на правилата по държавните помощи, допустимостта на разходите е съобразена и с приложимите към помощта правила;</w:t>
      </w:r>
    </w:p>
    <w:p w:rsidR="007E360C" w:rsidRPr="00496FD7" w:rsidRDefault="007E360C" w:rsidP="00E80472">
      <w:pPr>
        <w:pStyle w:val="ListParagraph"/>
        <w:numPr>
          <w:ilvl w:val="0"/>
          <w:numId w:val="98"/>
        </w:numPr>
        <w:ind w:right="142"/>
        <w:rPr>
          <w:szCs w:val="24"/>
          <w:lang w:eastAsia="bg-BG"/>
        </w:rPr>
      </w:pPr>
      <w:r w:rsidRPr="00496FD7">
        <w:rPr>
          <w:szCs w:val="24"/>
          <w:lang w:eastAsia="bg-BG"/>
        </w:rPr>
        <w:t xml:space="preserve">Да са извършени в съответствие с принципа на доброто финансово управление в съответствие с чл. 33 на Регламент (ЕС, Евратом) 2018/1046 на Европейския парламент и на Съвета от 18 юли 2018 година. </w:t>
      </w:r>
    </w:p>
    <w:p w:rsidR="007E360C" w:rsidRPr="00496FD7" w:rsidRDefault="007E360C" w:rsidP="00E80472">
      <w:pPr>
        <w:pStyle w:val="ListParagraph"/>
        <w:numPr>
          <w:ilvl w:val="0"/>
          <w:numId w:val="98"/>
        </w:numPr>
        <w:ind w:right="142"/>
        <w:rPr>
          <w:szCs w:val="24"/>
          <w:lang w:eastAsia="bg-BG"/>
        </w:rPr>
      </w:pPr>
      <w:r w:rsidRPr="00496FD7">
        <w:rPr>
          <w:szCs w:val="24"/>
          <w:lang w:eastAsia="bg-BG"/>
        </w:rPr>
        <w:t xml:space="preserve">Разходите са допустими за получаване на принос от фондовете, ако те са направени от бенефициент по ПТС и са изплатени за изпълнение на операции между датата на </w:t>
      </w:r>
      <w:r w:rsidRPr="00496FD7">
        <w:rPr>
          <w:szCs w:val="24"/>
          <w:lang w:eastAsia="bg-BG"/>
        </w:rPr>
        <w:lastRenderedPageBreak/>
        <w:t>представяне на програмата на Комисията или 1 януари 2021 г., като се взема по-ранната от двете дати, и 31 декември 2029 г. Разходите следва да бъдат извършени в периода от 01.01.2021 г. до 31.12.2029 г. и разходооправдателните документи, свързани с изпълнението на допустимите по проекта дейности, следва да бъдат издадени в периода на допустимост на разходите.</w:t>
      </w:r>
    </w:p>
    <w:p w:rsidR="007E360C" w:rsidRPr="00496FD7" w:rsidRDefault="007E360C" w:rsidP="00E80472">
      <w:pPr>
        <w:pStyle w:val="ListParagraph"/>
        <w:numPr>
          <w:ilvl w:val="0"/>
          <w:numId w:val="98"/>
        </w:numPr>
        <w:spacing w:after="120"/>
        <w:rPr>
          <w:szCs w:val="24"/>
        </w:rPr>
      </w:pPr>
      <w:r w:rsidRPr="00496FD7">
        <w:rPr>
          <w:szCs w:val="24"/>
        </w:rPr>
        <w:t xml:space="preserve">Да не са финансирани по друг проект, програма или друга финансова схема, финансирана от публични средства на националния или европейския бюджети. </w:t>
      </w:r>
    </w:p>
    <w:p w:rsidR="007E360C" w:rsidRPr="00496FD7" w:rsidRDefault="007E360C" w:rsidP="00E80472">
      <w:pPr>
        <w:pStyle w:val="ListParagraph"/>
        <w:numPr>
          <w:ilvl w:val="0"/>
          <w:numId w:val="98"/>
        </w:numPr>
        <w:ind w:right="142"/>
        <w:rPr>
          <w:szCs w:val="24"/>
          <w:lang w:eastAsia="bg-BG"/>
        </w:rPr>
      </w:pPr>
      <w:r w:rsidRPr="00496FD7">
        <w:rPr>
          <w:szCs w:val="24"/>
          <w:lang w:eastAsia="bg-BG"/>
        </w:rPr>
        <w:t xml:space="preserve">Разходи, станали допустими в резултат на изменение в програма, са допустими от датата на подаване на искането за изменение до Комисията.     </w:t>
      </w:r>
    </w:p>
    <w:p w:rsidR="007E360C" w:rsidRPr="00496FD7" w:rsidRDefault="007E360C" w:rsidP="00E80472">
      <w:pPr>
        <w:pStyle w:val="ListParagraph"/>
        <w:numPr>
          <w:ilvl w:val="0"/>
          <w:numId w:val="98"/>
        </w:numPr>
        <w:ind w:right="142"/>
        <w:rPr>
          <w:szCs w:val="24"/>
          <w:lang w:eastAsia="bg-BG"/>
        </w:rPr>
      </w:pPr>
      <w:r w:rsidRPr="00496FD7">
        <w:rPr>
          <w:szCs w:val="24"/>
          <w:lang w:eastAsia="bg-BG"/>
        </w:rPr>
        <w:t>Допустими са разходите по операции, осъществени в програмния район на програмата.  При одобрение от управляващия орган на съответната оперативна програма са допустими разходи и по операции, съфинансирани от ЕФРР и КФ, които</w:t>
      </w:r>
      <w:r w:rsidRPr="00496FD7">
        <w:rPr>
          <w:color w:val="000000"/>
          <w:szCs w:val="24"/>
          <w:lang w:eastAsia="bg-BG"/>
        </w:rPr>
        <w:t xml:space="preserve"> се осъществяват извън програмния район, но в границите на Европейския съюз, при условие че е изпълнено всяко от следните условия</w:t>
      </w:r>
      <w:r w:rsidRPr="00496FD7">
        <w:rPr>
          <w:szCs w:val="24"/>
          <w:lang w:eastAsia="bg-BG"/>
        </w:rPr>
        <w:t>:</w:t>
      </w:r>
    </w:p>
    <w:p w:rsidR="007E360C" w:rsidRPr="00496FD7" w:rsidRDefault="007E360C" w:rsidP="00E80472">
      <w:pPr>
        <w:pStyle w:val="ListParagraph"/>
        <w:numPr>
          <w:ilvl w:val="2"/>
          <w:numId w:val="98"/>
        </w:numPr>
        <w:ind w:left="1418" w:right="142" w:hanging="851"/>
        <w:rPr>
          <w:szCs w:val="24"/>
          <w:lang w:eastAsia="bg-BG"/>
        </w:rPr>
      </w:pPr>
      <w:r w:rsidRPr="00496FD7">
        <w:rPr>
          <w:szCs w:val="24"/>
          <w:lang w:eastAsia="bg-BG"/>
        </w:rPr>
        <w:t>операцията е в полза на програмния район;</w:t>
      </w:r>
    </w:p>
    <w:p w:rsidR="007E360C" w:rsidRPr="00496FD7" w:rsidRDefault="007E360C" w:rsidP="00E80472">
      <w:pPr>
        <w:pStyle w:val="ListParagraph"/>
        <w:numPr>
          <w:ilvl w:val="2"/>
          <w:numId w:val="98"/>
        </w:numPr>
        <w:ind w:left="1418" w:right="142" w:hanging="851"/>
        <w:rPr>
          <w:szCs w:val="24"/>
          <w:lang w:eastAsia="bg-BG"/>
        </w:rPr>
      </w:pPr>
      <w:r w:rsidRPr="00496FD7">
        <w:rPr>
          <w:szCs w:val="24"/>
          <w:lang w:eastAsia="bg-BG"/>
        </w:rPr>
        <w:t>общата сума, разпределена по програмата за операции извън програмния район, не надвишава 15 на сто от подкрепата от ЕФРР или КФ на ниво приоритет;</w:t>
      </w:r>
    </w:p>
    <w:p w:rsidR="007E360C" w:rsidRPr="00496FD7" w:rsidRDefault="007E360C" w:rsidP="00E80472">
      <w:pPr>
        <w:pStyle w:val="ListParagraph"/>
        <w:numPr>
          <w:ilvl w:val="2"/>
          <w:numId w:val="98"/>
        </w:numPr>
        <w:ind w:left="1418" w:right="142" w:hanging="851"/>
        <w:rPr>
          <w:szCs w:val="24"/>
          <w:lang w:eastAsia="bg-BG"/>
        </w:rPr>
      </w:pPr>
      <w:r w:rsidRPr="00496FD7">
        <w:rPr>
          <w:szCs w:val="24"/>
          <w:lang w:eastAsia="bg-BG"/>
        </w:rPr>
        <w:t>комитетът за наблюдение на съответната програма е одобрил съответната операция или съответните видове операции;</w:t>
      </w:r>
    </w:p>
    <w:p w:rsidR="007E360C" w:rsidRPr="00496FD7" w:rsidRDefault="007E360C" w:rsidP="00E80472">
      <w:pPr>
        <w:pStyle w:val="ListParagraph"/>
        <w:numPr>
          <w:ilvl w:val="2"/>
          <w:numId w:val="98"/>
        </w:numPr>
        <w:ind w:left="1418" w:right="142" w:hanging="851"/>
        <w:rPr>
          <w:szCs w:val="24"/>
          <w:lang w:eastAsia="bg-BG"/>
        </w:rPr>
      </w:pPr>
      <w:r w:rsidRPr="00496FD7">
        <w:rPr>
          <w:szCs w:val="24"/>
          <w:lang w:eastAsia="bg-BG"/>
        </w:rPr>
        <w:t>задълженията на органите по програмата във връзка с управлението, контрола и одита по отношение на операцията се изпълняват от органите, които отговарят за програмата, по която операцията получава финансова подкрепа, или те сключват споразумения с органите в района, в който се изпълнява операцията.</w:t>
      </w:r>
    </w:p>
    <w:p w:rsidR="007E360C" w:rsidRPr="00496FD7" w:rsidRDefault="007E360C" w:rsidP="00E80472">
      <w:pPr>
        <w:pStyle w:val="ListParagraph"/>
        <w:numPr>
          <w:ilvl w:val="1"/>
          <w:numId w:val="98"/>
        </w:numPr>
        <w:tabs>
          <w:tab w:val="left" w:pos="1418"/>
        </w:tabs>
        <w:ind w:left="0" w:right="142" w:firstLine="567"/>
        <w:rPr>
          <w:szCs w:val="24"/>
          <w:lang w:eastAsia="bg-BG"/>
        </w:rPr>
      </w:pPr>
      <w:r w:rsidRPr="00496FD7">
        <w:rPr>
          <w:szCs w:val="24"/>
          <w:lang w:eastAsia="bg-BG"/>
        </w:rPr>
        <w:t xml:space="preserve">При възстановяване на действително направени и платени допустими разходи максималните размери за всеки отделен вид разход се определят спрямо общите допустими разходи по операцията. В отделни случаи, когато даден разход е пряко обвързан с друг вид разход, като основа може да се използват общите допустими разходи за съответния вид, с който е обвързан. </w:t>
      </w:r>
    </w:p>
    <w:p w:rsidR="007E360C" w:rsidRPr="00496FD7" w:rsidRDefault="007E360C" w:rsidP="00E80472">
      <w:pPr>
        <w:pStyle w:val="ListParagraph"/>
        <w:numPr>
          <w:ilvl w:val="1"/>
          <w:numId w:val="98"/>
        </w:numPr>
        <w:tabs>
          <w:tab w:val="left" w:pos="1276"/>
        </w:tabs>
        <w:ind w:left="0" w:right="142" w:firstLine="567"/>
        <w:rPr>
          <w:szCs w:val="24"/>
          <w:lang w:eastAsia="bg-BG"/>
        </w:rPr>
      </w:pPr>
      <w:r w:rsidRPr="00496FD7">
        <w:rPr>
          <w:szCs w:val="24"/>
          <w:lang w:eastAsia="bg-BG"/>
        </w:rPr>
        <w:t>При възстановяване на действително направени и платени допустими разходи се определят следните максимални размери за определени категории разходи:</w:t>
      </w:r>
    </w:p>
    <w:p w:rsidR="007E360C" w:rsidRPr="00496FD7" w:rsidRDefault="007E360C" w:rsidP="00E80472">
      <w:pPr>
        <w:pStyle w:val="ListParagraph"/>
        <w:numPr>
          <w:ilvl w:val="2"/>
          <w:numId w:val="98"/>
        </w:numPr>
        <w:ind w:left="1418" w:right="142" w:hanging="851"/>
        <w:rPr>
          <w:szCs w:val="24"/>
          <w:lang w:eastAsia="bg-BG"/>
        </w:rPr>
      </w:pPr>
      <w:r w:rsidRPr="00496FD7">
        <w:rPr>
          <w:szCs w:val="24"/>
          <w:lang w:eastAsia="bg-BG"/>
        </w:rPr>
        <w:t xml:space="preserve">разходи за организация и управление - до 10 на сто от общите допустими разходи по операцията; </w:t>
      </w:r>
    </w:p>
    <w:p w:rsidR="007E360C" w:rsidRPr="00496FD7" w:rsidRDefault="007E360C" w:rsidP="00E80472">
      <w:pPr>
        <w:pStyle w:val="ListParagraph"/>
        <w:numPr>
          <w:ilvl w:val="2"/>
          <w:numId w:val="98"/>
        </w:numPr>
        <w:ind w:left="1418" w:right="142" w:hanging="851"/>
        <w:rPr>
          <w:szCs w:val="24"/>
          <w:lang w:eastAsia="bg-BG"/>
        </w:rPr>
      </w:pPr>
      <w:r w:rsidRPr="00496FD7">
        <w:rPr>
          <w:szCs w:val="24"/>
          <w:lang w:eastAsia="bg-BG"/>
        </w:rPr>
        <w:t xml:space="preserve">разходи за публичност и визуализация – до 2 на сто от общите допустими разходи за операции, при които размерът на финансовата подкрепа не превишава левовата равностойност на 100 000 евро, и до 1 на сто от общите допустими разходи на всички останали операции; </w:t>
      </w:r>
    </w:p>
    <w:p w:rsidR="007E360C" w:rsidRPr="00496FD7" w:rsidRDefault="007E360C" w:rsidP="00E80472">
      <w:pPr>
        <w:pStyle w:val="ListParagraph"/>
        <w:numPr>
          <w:ilvl w:val="2"/>
          <w:numId w:val="98"/>
        </w:numPr>
        <w:ind w:left="1418" w:right="142" w:hanging="851"/>
        <w:rPr>
          <w:szCs w:val="24"/>
          <w:lang w:eastAsia="bg-BG"/>
        </w:rPr>
      </w:pPr>
      <w:r w:rsidRPr="00496FD7">
        <w:rPr>
          <w:szCs w:val="24"/>
          <w:lang w:eastAsia="bg-BG"/>
        </w:rPr>
        <w:t>разходи за командировъчни пари – съгласно Наредбата за командировките в страната и Наредбата за служебните командировки и специализации в чужбина или съответните нормативни актове на друга държава – членка на ЕС, в случаите, когато не е приложимо българското законодателство.</w:t>
      </w:r>
    </w:p>
    <w:p w:rsidR="007E360C" w:rsidRPr="00496FD7" w:rsidRDefault="007E360C" w:rsidP="00E80472">
      <w:pPr>
        <w:pStyle w:val="ListParagraph"/>
        <w:numPr>
          <w:ilvl w:val="1"/>
          <w:numId w:val="98"/>
        </w:numPr>
        <w:tabs>
          <w:tab w:val="left" w:pos="1418"/>
        </w:tabs>
        <w:ind w:left="0" w:right="142" w:firstLine="567"/>
        <w:rPr>
          <w:lang w:eastAsia="bg-BG"/>
        </w:rPr>
      </w:pPr>
      <w:r w:rsidRPr="00496FD7">
        <w:rPr>
          <w:szCs w:val="24"/>
          <w:lang w:eastAsia="bg-BG"/>
        </w:rPr>
        <w:t>Когато изпълнението на операция поражда непреки разходи, те могат да бъдат изчислени</w:t>
      </w:r>
      <w:r w:rsidRPr="00496FD7">
        <w:rPr>
          <w:color w:val="000000"/>
          <w:szCs w:val="24"/>
          <w:lang w:eastAsia="bg-BG"/>
        </w:rPr>
        <w:t xml:space="preserve"> като единна ставка по един от следните начини:</w:t>
      </w:r>
    </w:p>
    <w:p w:rsidR="007E360C" w:rsidRPr="00496FD7" w:rsidRDefault="007E360C" w:rsidP="00E80472">
      <w:pPr>
        <w:pStyle w:val="ListParagraph"/>
        <w:numPr>
          <w:ilvl w:val="2"/>
          <w:numId w:val="98"/>
        </w:numPr>
        <w:ind w:left="1418" w:right="142" w:hanging="851"/>
        <w:rPr>
          <w:szCs w:val="24"/>
          <w:lang w:eastAsia="bg-BG"/>
        </w:rPr>
      </w:pPr>
      <w:r w:rsidRPr="00496FD7">
        <w:rPr>
          <w:szCs w:val="24"/>
          <w:lang w:eastAsia="bg-BG"/>
        </w:rPr>
        <w:t xml:space="preserve">единна ставка в размер до 25 на сто от допустимите преки разходи, при условие че ставката се изчислява въз основа на коректен, справедлив и проверим метод на изчисление или въз основа на метод, прилаган в рамките на национални </w:t>
      </w:r>
      <w:r w:rsidRPr="00496FD7">
        <w:rPr>
          <w:szCs w:val="24"/>
          <w:lang w:eastAsia="bg-BG"/>
        </w:rPr>
        <w:lastRenderedPageBreak/>
        <w:t>схеми за предоставяне на безвъзмездна финансова помощ за подобен тип операция и бенефициент;</w:t>
      </w:r>
    </w:p>
    <w:p w:rsidR="007E360C" w:rsidRPr="00496FD7" w:rsidRDefault="007E360C" w:rsidP="00E80472">
      <w:pPr>
        <w:pStyle w:val="ListParagraph"/>
        <w:numPr>
          <w:ilvl w:val="2"/>
          <w:numId w:val="98"/>
        </w:numPr>
        <w:ind w:left="1418" w:right="142" w:hanging="851"/>
        <w:rPr>
          <w:szCs w:val="24"/>
          <w:lang w:eastAsia="bg-BG"/>
        </w:rPr>
      </w:pPr>
      <w:r w:rsidRPr="00496FD7">
        <w:rPr>
          <w:szCs w:val="24"/>
          <w:lang w:eastAsia="bg-BG"/>
        </w:rPr>
        <w:t xml:space="preserve">единна ставка в размер до 15 на сто от допустимите преки разходи за персонал, без да се изисква да се извършват изчисления за определянето на приложимата ставка; </w:t>
      </w:r>
    </w:p>
    <w:p w:rsidR="007E360C" w:rsidRPr="00496FD7" w:rsidRDefault="007E360C" w:rsidP="00E80472">
      <w:pPr>
        <w:pStyle w:val="ListParagraph"/>
        <w:numPr>
          <w:ilvl w:val="2"/>
          <w:numId w:val="98"/>
        </w:numPr>
        <w:ind w:left="1418" w:right="142" w:hanging="851"/>
        <w:rPr>
          <w:szCs w:val="24"/>
          <w:lang w:eastAsia="bg-BG"/>
        </w:rPr>
      </w:pPr>
      <w:r w:rsidRPr="00496FD7">
        <w:rPr>
          <w:szCs w:val="24"/>
          <w:lang w:eastAsia="bg-BG"/>
        </w:rPr>
        <w:t>единна ставка, прилагана към допустимите преки разходи въз основа на съществуващите методи и съответстващите ставки, приложими в политиките на Европейския съюз за подобен тип операция и бенефициент.</w:t>
      </w:r>
    </w:p>
    <w:p w:rsidR="007E360C" w:rsidRPr="00496FD7" w:rsidRDefault="007E360C" w:rsidP="00E80472">
      <w:pPr>
        <w:pStyle w:val="ListParagraph"/>
        <w:numPr>
          <w:ilvl w:val="1"/>
          <w:numId w:val="98"/>
        </w:numPr>
        <w:tabs>
          <w:tab w:val="left" w:pos="1418"/>
        </w:tabs>
        <w:ind w:left="0" w:right="142" w:firstLine="567"/>
        <w:rPr>
          <w:color w:val="000000"/>
          <w:szCs w:val="24"/>
          <w:lang w:eastAsia="bg-BG"/>
        </w:rPr>
      </w:pPr>
      <w:r w:rsidRPr="00496FD7">
        <w:rPr>
          <w:color w:val="000000"/>
          <w:szCs w:val="24"/>
          <w:lang w:eastAsia="bg-BG"/>
        </w:rPr>
        <w:t>Разходи за екипи, отговорни за управление и/или изпълнение на проектите, са допустими, когато:</w:t>
      </w:r>
    </w:p>
    <w:p w:rsidR="007E360C" w:rsidRPr="00496FD7" w:rsidRDefault="007E360C" w:rsidP="007E360C">
      <w:pPr>
        <w:shd w:val="clear" w:color="auto" w:fill="FEFEFE"/>
        <w:ind w:left="1276"/>
        <w:rPr>
          <w:color w:val="000000"/>
          <w:szCs w:val="24"/>
          <w:lang w:eastAsia="bg-BG"/>
        </w:rPr>
      </w:pPr>
      <w:r w:rsidRPr="00496FD7">
        <w:rPr>
          <w:color w:val="000000"/>
          <w:szCs w:val="24"/>
          <w:lang w:eastAsia="bg-BG"/>
        </w:rPr>
        <w:t>1. управлението и/или изпълнението се осъществява само от служители на бенефициента;</w:t>
      </w:r>
    </w:p>
    <w:p w:rsidR="007E360C" w:rsidRPr="00496FD7" w:rsidRDefault="007E360C" w:rsidP="007E360C">
      <w:pPr>
        <w:shd w:val="clear" w:color="auto" w:fill="FEFEFE"/>
        <w:ind w:left="1276"/>
        <w:rPr>
          <w:color w:val="000000"/>
          <w:szCs w:val="24"/>
          <w:lang w:eastAsia="bg-BG"/>
        </w:rPr>
      </w:pPr>
      <w:r w:rsidRPr="00496FD7">
        <w:rPr>
          <w:color w:val="000000"/>
          <w:szCs w:val="24"/>
          <w:lang w:eastAsia="bg-BG"/>
        </w:rPr>
        <w:t>2. в управлението и/или изпълнението на проекта са включени и външни за бенефициента лица - при необходимост от специфична експертиза и/или липса на достатъчен собствен административен капацитет;</w:t>
      </w:r>
    </w:p>
    <w:p w:rsidR="007E360C" w:rsidRPr="00496FD7" w:rsidRDefault="007E360C" w:rsidP="007E360C">
      <w:pPr>
        <w:shd w:val="clear" w:color="auto" w:fill="FEFEFE"/>
        <w:ind w:left="1276"/>
        <w:rPr>
          <w:color w:val="000000"/>
          <w:szCs w:val="24"/>
          <w:lang w:eastAsia="bg-BG"/>
        </w:rPr>
      </w:pPr>
      <w:r w:rsidRPr="00496FD7">
        <w:rPr>
          <w:color w:val="000000"/>
          <w:szCs w:val="24"/>
          <w:lang w:eastAsia="bg-BG"/>
        </w:rPr>
        <w:t>3. управлението и/или изпълнението се осъществява изцяло от външни за бенефициента лица, избрани в съответствие с националното законодателство.</w:t>
      </w:r>
    </w:p>
    <w:p w:rsidR="007E360C" w:rsidRPr="00496FD7" w:rsidRDefault="007E360C" w:rsidP="00E80472">
      <w:pPr>
        <w:pStyle w:val="ListParagraph"/>
        <w:numPr>
          <w:ilvl w:val="1"/>
          <w:numId w:val="98"/>
        </w:numPr>
        <w:tabs>
          <w:tab w:val="left" w:pos="1418"/>
        </w:tabs>
        <w:ind w:left="0" w:right="142" w:firstLine="567"/>
        <w:rPr>
          <w:color w:val="000000"/>
          <w:szCs w:val="24"/>
          <w:lang w:eastAsia="bg-BG"/>
        </w:rPr>
      </w:pPr>
      <w:r w:rsidRPr="00496FD7">
        <w:rPr>
          <w:color w:val="000000"/>
          <w:szCs w:val="24"/>
          <w:lang w:eastAsia="bg-BG"/>
        </w:rPr>
        <w:t>Когато безвъзмездна финансова помощ и възстановима помощ се предоставят под формата по чл. 55, ал. 1, т. 1 от ЗУСЕФСУ, дейностите по изпълнение и/или управление се възлагат, както следва:</w:t>
      </w:r>
    </w:p>
    <w:p w:rsidR="007E360C" w:rsidRPr="00496FD7" w:rsidRDefault="007E360C" w:rsidP="007E360C">
      <w:pPr>
        <w:shd w:val="clear" w:color="auto" w:fill="FEFEFE"/>
        <w:rPr>
          <w:color w:val="000000"/>
          <w:szCs w:val="24"/>
          <w:lang w:eastAsia="bg-BG"/>
        </w:rPr>
      </w:pPr>
      <w:r w:rsidRPr="00496FD7">
        <w:rPr>
          <w:color w:val="000000"/>
          <w:szCs w:val="24"/>
          <w:lang w:eastAsia="bg-BG"/>
        </w:rPr>
        <w:t>1. с длъжностната характеристика на служителя, нает от бенефициента по трудово или служебно правоотношение;</w:t>
      </w:r>
    </w:p>
    <w:p w:rsidR="007E360C" w:rsidRPr="00496FD7" w:rsidRDefault="007E360C" w:rsidP="007E360C">
      <w:pPr>
        <w:shd w:val="clear" w:color="auto" w:fill="FEFEFE"/>
        <w:rPr>
          <w:color w:val="000000"/>
          <w:szCs w:val="24"/>
          <w:lang w:eastAsia="bg-BG"/>
        </w:rPr>
      </w:pPr>
      <w:r w:rsidRPr="00496FD7">
        <w:rPr>
          <w:color w:val="000000"/>
          <w:szCs w:val="24"/>
          <w:lang w:eastAsia="bg-BG"/>
        </w:rPr>
        <w:t>2. дейности, изпълнявани извън установеното работно време и длъжностна характеристика на служителя, се възлагат при следните условия:</w:t>
      </w:r>
    </w:p>
    <w:p w:rsidR="007E360C" w:rsidRPr="00496FD7" w:rsidRDefault="007E360C" w:rsidP="007E360C">
      <w:pPr>
        <w:shd w:val="clear" w:color="auto" w:fill="FEFEFE"/>
        <w:ind w:left="993"/>
        <w:rPr>
          <w:color w:val="000000"/>
          <w:szCs w:val="24"/>
          <w:lang w:eastAsia="bg-BG"/>
        </w:rPr>
      </w:pPr>
      <w:r w:rsidRPr="00496FD7">
        <w:rPr>
          <w:color w:val="000000"/>
          <w:szCs w:val="24"/>
          <w:lang w:eastAsia="bg-BG"/>
        </w:rPr>
        <w:t>а) със заповед на органа по назначаване, съответно на работодателя, на служителя по служебно правоотношение, съответно трудово правоотношение, в държавната администрация, с негово съгласие и срещу възнаграждение са възложени допълнителни задължения във връзка с управлението и/или изпълнението на проект, или</w:t>
      </w:r>
    </w:p>
    <w:p w:rsidR="007E360C" w:rsidRPr="00496FD7" w:rsidRDefault="007E360C" w:rsidP="007E360C">
      <w:pPr>
        <w:shd w:val="clear" w:color="auto" w:fill="FEFEFE"/>
        <w:ind w:left="993"/>
        <w:rPr>
          <w:color w:val="000000"/>
          <w:szCs w:val="24"/>
          <w:lang w:eastAsia="bg-BG"/>
        </w:rPr>
      </w:pPr>
      <w:r w:rsidRPr="00496FD7">
        <w:rPr>
          <w:color w:val="000000"/>
          <w:szCs w:val="24"/>
          <w:lang w:eastAsia="bg-BG"/>
        </w:rPr>
        <w:t>б) със служителя по трудово правоотношение е сключен трудов договор по реда на чл. 110 от Кодекса на труда във връзка с управлението и/или изпълнението на проект;</w:t>
      </w:r>
    </w:p>
    <w:p w:rsidR="007E360C" w:rsidRPr="00496FD7" w:rsidRDefault="007E360C" w:rsidP="007E360C">
      <w:pPr>
        <w:shd w:val="clear" w:color="auto" w:fill="FEFEFE"/>
        <w:rPr>
          <w:color w:val="000000"/>
          <w:szCs w:val="24"/>
          <w:lang w:eastAsia="bg-BG"/>
        </w:rPr>
      </w:pPr>
      <w:r w:rsidRPr="00496FD7">
        <w:rPr>
          <w:color w:val="000000"/>
          <w:szCs w:val="24"/>
          <w:lang w:eastAsia="bg-BG"/>
        </w:rPr>
        <w:t>3. извън случаите по т. 1 и 2 за дейности по проекта с лицето е сключен договор съгласно правилата по чл. 49, ал. 2 от ЗУСЕФСУ.</w:t>
      </w:r>
    </w:p>
    <w:p w:rsidR="007E360C" w:rsidRPr="00496FD7" w:rsidRDefault="007E360C" w:rsidP="00E80472">
      <w:pPr>
        <w:pStyle w:val="ListParagraph"/>
        <w:numPr>
          <w:ilvl w:val="1"/>
          <w:numId w:val="98"/>
        </w:numPr>
        <w:tabs>
          <w:tab w:val="left" w:pos="1418"/>
        </w:tabs>
        <w:ind w:left="0" w:right="142" w:firstLine="567"/>
        <w:rPr>
          <w:lang w:eastAsia="bg-BG"/>
        </w:rPr>
      </w:pPr>
      <w:r w:rsidRPr="00496FD7">
        <w:rPr>
          <w:szCs w:val="24"/>
          <w:lang w:eastAsia="bg-BG"/>
        </w:rPr>
        <w:t>Разходите за възнаграждения на служителите</w:t>
      </w:r>
      <w:r w:rsidRPr="00496FD7">
        <w:rPr>
          <w:color w:val="000000"/>
          <w:szCs w:val="24"/>
          <w:lang w:eastAsia="bg-BG"/>
        </w:rPr>
        <w:t xml:space="preserve"> за изпълнение на дейности във връзка с подготовката, управлението, координацията, мониторинга, оценката, информацията и контрола на ПТС се считат за допустими за финансиране по техническа помощ за служителите от МТС/Управляващия орган, при условие, че дейностите са определени в длъжностите характеристики и/или в договорите за назначаване на служителите. В случаите когато служителите в МТС/УО изпълняват и други дейности извън подготовката, управлението, координацията, мониторинга, оценката, информацията и контрола на ПТС, разходите за възнаграждения се считат за допустими за финансиране по техническа помощ в размер на процентно съотношение на годишна база между изпълнените задължения по ПТС, заложени в длъжностна характеристика, и общо изпълнените задължения по длъжностна характеристика. </w:t>
      </w:r>
    </w:p>
    <w:p w:rsidR="007E360C" w:rsidRPr="00496FD7" w:rsidRDefault="007E360C" w:rsidP="00E80472">
      <w:pPr>
        <w:pStyle w:val="ListParagraph"/>
        <w:numPr>
          <w:ilvl w:val="1"/>
          <w:numId w:val="98"/>
        </w:numPr>
        <w:tabs>
          <w:tab w:val="left" w:pos="1418"/>
        </w:tabs>
        <w:ind w:left="0" w:right="142" w:firstLine="567"/>
        <w:rPr>
          <w:b/>
          <w:szCs w:val="24"/>
          <w:lang w:eastAsia="bg-BG"/>
        </w:rPr>
      </w:pPr>
      <w:r w:rsidRPr="00496FD7">
        <w:rPr>
          <w:szCs w:val="24"/>
          <w:lang w:eastAsia="bg-BG"/>
        </w:rPr>
        <w:t>Разходи за дейности, насочени към укрепване и повишаване на административния капацитет на Управляващия орган на ПТС, включително разходите</w:t>
      </w:r>
      <w:r w:rsidRPr="00496FD7">
        <w:rPr>
          <w:bCs/>
          <w:szCs w:val="24"/>
          <w:lang w:eastAsia="bg-BG"/>
        </w:rPr>
        <w:t xml:space="preserve"> за </w:t>
      </w:r>
      <w:r w:rsidRPr="00496FD7">
        <w:rPr>
          <w:bCs/>
          <w:szCs w:val="24"/>
          <w:lang w:eastAsia="bg-BG"/>
        </w:rPr>
        <w:lastRenderedPageBreak/>
        <w:t xml:space="preserve">възнаграждения, доплащания към възнагражденията и за обезщетения, изплатени от осигурителя за дните на временна нетрудоспособност съгласно Кодекса за социално осигуряване за реално отработено време на служители и/или други лица на конкретните бенефициенти по ПТС за изпълнение на дейности във връзка с подготовката, управлението, мониторинга, оценката, информацията и контрола на ПТС, </w:t>
      </w:r>
      <w:r w:rsidRPr="00496FD7">
        <w:rPr>
          <w:szCs w:val="24"/>
          <w:lang w:eastAsia="bg-BG"/>
        </w:rPr>
        <w:t>при условие, че</w:t>
      </w:r>
      <w:r w:rsidRPr="00496FD7">
        <w:rPr>
          <w:bCs/>
          <w:szCs w:val="24"/>
          <w:lang w:eastAsia="bg-BG"/>
        </w:rPr>
        <w:t>:</w:t>
      </w:r>
    </w:p>
    <w:p w:rsidR="007E360C" w:rsidRPr="00496FD7" w:rsidRDefault="007E360C" w:rsidP="007E360C">
      <w:pPr>
        <w:pStyle w:val="ListParagraph"/>
        <w:tabs>
          <w:tab w:val="left" w:pos="993"/>
        </w:tabs>
        <w:spacing w:before="150"/>
        <w:ind w:left="0"/>
        <w:rPr>
          <w:color w:val="000000"/>
          <w:szCs w:val="24"/>
        </w:rPr>
      </w:pPr>
      <w:r w:rsidRPr="00496FD7">
        <w:rPr>
          <w:color w:val="000000"/>
          <w:szCs w:val="24"/>
        </w:rPr>
        <w:t xml:space="preserve">а) </w:t>
      </w:r>
      <w:r w:rsidRPr="00496FD7">
        <w:rPr>
          <w:szCs w:val="24"/>
          <w:lang w:eastAsia="bg-BG"/>
        </w:rPr>
        <w:t>в длъжностната характеристика на служителя по служебно или трудово правоотношение е включено изпълнението на дейности по управление и изпълнение на операции</w:t>
      </w:r>
      <w:r w:rsidRPr="00496FD7">
        <w:rPr>
          <w:color w:val="000000"/>
          <w:szCs w:val="24"/>
        </w:rPr>
        <w:t>;</w:t>
      </w:r>
    </w:p>
    <w:p w:rsidR="007E360C" w:rsidRPr="00496FD7" w:rsidRDefault="007E360C" w:rsidP="007E360C">
      <w:pPr>
        <w:pStyle w:val="ListParagraph"/>
        <w:tabs>
          <w:tab w:val="left" w:pos="993"/>
        </w:tabs>
        <w:spacing w:before="150"/>
        <w:ind w:left="0"/>
        <w:rPr>
          <w:color w:val="000000"/>
          <w:szCs w:val="24"/>
        </w:rPr>
      </w:pPr>
      <w:r w:rsidRPr="00496FD7">
        <w:rPr>
          <w:color w:val="000000"/>
          <w:szCs w:val="24"/>
        </w:rPr>
        <w:t>б) дейностите са допълнително възложени извън длъжностните им характеристики задачи/отговорности и/или в договорите за тяхното назначаване; дейностите се възлагат в съответствие с методология, одобрена от министъра на транспорта и съобщенията;</w:t>
      </w:r>
    </w:p>
    <w:p w:rsidR="007E360C" w:rsidRPr="00496FD7" w:rsidRDefault="007E360C" w:rsidP="007E360C">
      <w:pPr>
        <w:pStyle w:val="ListParagraph"/>
        <w:tabs>
          <w:tab w:val="left" w:pos="993"/>
        </w:tabs>
        <w:spacing w:before="150"/>
        <w:ind w:left="0"/>
        <w:rPr>
          <w:color w:val="000000"/>
          <w:szCs w:val="24"/>
        </w:rPr>
      </w:pPr>
      <w:r w:rsidRPr="00496FD7">
        <w:rPr>
          <w:color w:val="000000"/>
          <w:szCs w:val="24"/>
        </w:rPr>
        <w:t xml:space="preserve">в) </w:t>
      </w:r>
      <w:r w:rsidRPr="00496FD7">
        <w:rPr>
          <w:szCs w:val="24"/>
          <w:lang w:eastAsia="bg-BG"/>
        </w:rPr>
        <w:t>налице е сключен договор за услуга със служителя за изпълнение на дейности по управление и изпълнение извън установените му по служебно или трудово правоотношение работно време и задължения.</w:t>
      </w:r>
    </w:p>
    <w:p w:rsidR="007E360C" w:rsidRPr="00496FD7" w:rsidRDefault="007E360C" w:rsidP="00E80472">
      <w:pPr>
        <w:pStyle w:val="ListParagraph"/>
        <w:numPr>
          <w:ilvl w:val="1"/>
          <w:numId w:val="98"/>
        </w:numPr>
        <w:tabs>
          <w:tab w:val="left" w:pos="1276"/>
        </w:tabs>
        <w:ind w:left="0" w:right="142" w:firstLine="567"/>
        <w:rPr>
          <w:lang w:eastAsia="bg-BG"/>
        </w:rPr>
      </w:pPr>
      <w:r w:rsidRPr="00496FD7">
        <w:rPr>
          <w:szCs w:val="24"/>
          <w:lang w:eastAsia="bg-BG"/>
        </w:rPr>
        <w:t>Размерът</w:t>
      </w:r>
      <w:r w:rsidRPr="00496FD7">
        <w:rPr>
          <w:b/>
          <w:color w:val="000000"/>
          <w:szCs w:val="24"/>
          <w:lang w:eastAsia="bg-BG"/>
        </w:rPr>
        <w:t xml:space="preserve"> на часовата ставка на възнаграждение</w:t>
      </w:r>
      <w:r w:rsidRPr="00496FD7">
        <w:rPr>
          <w:color w:val="000000"/>
          <w:szCs w:val="24"/>
          <w:lang w:eastAsia="bg-BG"/>
        </w:rPr>
        <w:t xml:space="preserve"> на служителя за изпълнението на дейности по управление и изпълнение на операции следва да не превишава размера на възнаграждение на часова база, което лицето получава за изпълнение на дейности по основното си служебно или трудово правоотношение. Изчисляване на приложимата часова ставка при определяне на разходите за персонал, свързани с изпълнението на даден проект, като годишните брутни разходи за трудови възнаграждения в счетоводните отчети за последната година се разделят на 1720 часа..</w:t>
      </w:r>
    </w:p>
    <w:p w:rsidR="007E360C" w:rsidRPr="00496FD7" w:rsidRDefault="007E360C" w:rsidP="00E80472">
      <w:pPr>
        <w:pStyle w:val="ListParagraph"/>
        <w:numPr>
          <w:ilvl w:val="1"/>
          <w:numId w:val="98"/>
        </w:numPr>
        <w:tabs>
          <w:tab w:val="left" w:pos="1276"/>
        </w:tabs>
        <w:ind w:left="0" w:right="142" w:firstLine="567"/>
        <w:rPr>
          <w:lang w:eastAsia="bg-BG"/>
        </w:rPr>
      </w:pPr>
      <w:r w:rsidRPr="00496FD7">
        <w:rPr>
          <w:color w:val="000000"/>
          <w:szCs w:val="24"/>
          <w:lang w:eastAsia="bg-BG"/>
        </w:rPr>
        <w:t>Не се изплаща възнаграждение за управление и изпълнение на проекти по ПТС на служителите от УО, когато на същите се изплащат възнаграждения, във връзка с основното им трудово/служебно правоотношение, финансирано по ПТС.</w:t>
      </w:r>
    </w:p>
    <w:p w:rsidR="007E360C" w:rsidRPr="00496FD7" w:rsidRDefault="007E360C" w:rsidP="00E80472">
      <w:pPr>
        <w:pStyle w:val="ListParagraph"/>
        <w:numPr>
          <w:ilvl w:val="1"/>
          <w:numId w:val="98"/>
        </w:numPr>
        <w:tabs>
          <w:tab w:val="left" w:pos="1276"/>
        </w:tabs>
        <w:ind w:left="0" w:right="142" w:firstLine="567"/>
        <w:rPr>
          <w:szCs w:val="24"/>
          <w:lang w:eastAsia="bg-BG"/>
        </w:rPr>
      </w:pPr>
      <w:r w:rsidRPr="00496FD7">
        <w:rPr>
          <w:szCs w:val="24"/>
          <w:lang w:eastAsia="bg-BG"/>
        </w:rPr>
        <w:t>При предоставяне на безвъзмездна финансова помощ амортизационните разходи може да бъдат считани за допустими, при условие, че:</w:t>
      </w:r>
    </w:p>
    <w:p w:rsidR="007E360C" w:rsidRPr="00496FD7" w:rsidRDefault="007E360C" w:rsidP="00E80472">
      <w:pPr>
        <w:pStyle w:val="ListParagraph"/>
        <w:numPr>
          <w:ilvl w:val="2"/>
          <w:numId w:val="98"/>
        </w:numPr>
        <w:ind w:left="1701" w:right="142" w:hanging="709"/>
        <w:rPr>
          <w:szCs w:val="24"/>
          <w:lang w:eastAsia="bg-BG"/>
        </w:rPr>
      </w:pPr>
      <w:r w:rsidRPr="00496FD7">
        <w:rPr>
          <w:szCs w:val="24"/>
          <w:lang w:eastAsia="bg-BG"/>
        </w:rPr>
        <w:t>разходът се отнася за дейности и разходи, допустими за съответната операция;</w:t>
      </w:r>
    </w:p>
    <w:p w:rsidR="007E360C" w:rsidRPr="00496FD7" w:rsidRDefault="007E360C" w:rsidP="00E80472">
      <w:pPr>
        <w:pStyle w:val="ListParagraph"/>
        <w:numPr>
          <w:ilvl w:val="2"/>
          <w:numId w:val="98"/>
        </w:numPr>
        <w:ind w:left="1701" w:right="142" w:hanging="709"/>
        <w:rPr>
          <w:szCs w:val="24"/>
          <w:lang w:eastAsia="bg-BG"/>
        </w:rPr>
      </w:pPr>
      <w:r w:rsidRPr="00496FD7">
        <w:rPr>
          <w:szCs w:val="24"/>
          <w:lang w:eastAsia="bg-BG"/>
        </w:rPr>
        <w:t>разходите са изчислени в съответствие със Закона за корпоративното подоходно облагане;</w:t>
      </w:r>
    </w:p>
    <w:p w:rsidR="007E360C" w:rsidRPr="00496FD7" w:rsidRDefault="007E360C" w:rsidP="00E80472">
      <w:pPr>
        <w:pStyle w:val="ListParagraph"/>
        <w:numPr>
          <w:ilvl w:val="2"/>
          <w:numId w:val="98"/>
        </w:numPr>
        <w:ind w:left="1701" w:right="142" w:hanging="709"/>
        <w:rPr>
          <w:szCs w:val="24"/>
          <w:lang w:eastAsia="bg-BG"/>
        </w:rPr>
      </w:pPr>
      <w:r w:rsidRPr="00496FD7">
        <w:rPr>
          <w:szCs w:val="24"/>
          <w:lang w:eastAsia="bg-BG"/>
        </w:rPr>
        <w:t>размерът на разходите е надлежно удостоверен с придружаваща документация, имаща равностойна доказателствена стойност на фактури за допустими разходи;</w:t>
      </w:r>
    </w:p>
    <w:p w:rsidR="007E360C" w:rsidRPr="00496FD7" w:rsidRDefault="007E360C" w:rsidP="00E80472">
      <w:pPr>
        <w:pStyle w:val="ListParagraph"/>
        <w:numPr>
          <w:ilvl w:val="2"/>
          <w:numId w:val="98"/>
        </w:numPr>
        <w:ind w:left="1701" w:right="142" w:hanging="709"/>
        <w:rPr>
          <w:szCs w:val="24"/>
          <w:lang w:eastAsia="bg-BG"/>
        </w:rPr>
      </w:pPr>
      <w:r w:rsidRPr="00496FD7">
        <w:rPr>
          <w:szCs w:val="24"/>
          <w:lang w:eastAsia="bg-BG"/>
        </w:rPr>
        <w:t>разходите се отнасят изключително за периода на финансова подкрепа на операцията;</w:t>
      </w:r>
    </w:p>
    <w:p w:rsidR="007E360C" w:rsidRPr="00496FD7" w:rsidRDefault="007E360C" w:rsidP="00E80472">
      <w:pPr>
        <w:pStyle w:val="ListParagraph"/>
        <w:numPr>
          <w:ilvl w:val="2"/>
          <w:numId w:val="98"/>
        </w:numPr>
        <w:ind w:left="1701" w:right="142" w:hanging="709"/>
        <w:rPr>
          <w:szCs w:val="24"/>
          <w:lang w:eastAsia="bg-BG"/>
        </w:rPr>
      </w:pPr>
      <w:r w:rsidRPr="00496FD7">
        <w:rPr>
          <w:szCs w:val="24"/>
          <w:lang w:eastAsia="bg-BG"/>
        </w:rPr>
        <w:t>активите не са закупени дори частично с безвъзмездна финансова помощ.</w:t>
      </w:r>
    </w:p>
    <w:p w:rsidR="007E360C" w:rsidRPr="00496FD7" w:rsidRDefault="007E360C" w:rsidP="00E80472">
      <w:pPr>
        <w:pStyle w:val="ListParagraph"/>
        <w:numPr>
          <w:ilvl w:val="1"/>
          <w:numId w:val="98"/>
        </w:numPr>
        <w:tabs>
          <w:tab w:val="left" w:pos="1276"/>
        </w:tabs>
        <w:ind w:left="0" w:right="142" w:firstLine="567"/>
        <w:rPr>
          <w:szCs w:val="24"/>
          <w:lang w:eastAsia="bg-BG"/>
        </w:rPr>
      </w:pPr>
      <w:r w:rsidRPr="00496FD7">
        <w:rPr>
          <w:szCs w:val="24"/>
          <w:lang w:eastAsia="bg-BG"/>
        </w:rPr>
        <w:t>Данък върху добавената стойност е допустим за операции с общ размер на разходите, когато ДДС не подлежи на възстановяване съгласно националното законодателство в областта на ДДС;</w:t>
      </w:r>
    </w:p>
    <w:p w:rsidR="007E360C" w:rsidRPr="00496FD7" w:rsidRDefault="007E360C" w:rsidP="00E80472">
      <w:pPr>
        <w:pStyle w:val="ListParagraph"/>
        <w:numPr>
          <w:ilvl w:val="1"/>
          <w:numId w:val="98"/>
        </w:numPr>
        <w:tabs>
          <w:tab w:val="left" w:pos="1276"/>
        </w:tabs>
        <w:ind w:left="0" w:right="142" w:firstLine="567"/>
        <w:rPr>
          <w:szCs w:val="24"/>
          <w:lang w:eastAsia="bg-BG"/>
        </w:rPr>
      </w:pPr>
      <w:r w:rsidRPr="00496FD7">
        <w:rPr>
          <w:szCs w:val="24"/>
          <w:lang w:eastAsia="bg-BG"/>
        </w:rPr>
        <w:t>Допустими</w:t>
      </w:r>
      <w:r w:rsidRPr="00496FD7">
        <w:rPr>
          <w:color w:val="000000"/>
          <w:szCs w:val="24"/>
          <w:lang w:eastAsia="bg-BG"/>
        </w:rPr>
        <w:t xml:space="preserve"> разходи, извършени във връзка с </w:t>
      </w:r>
      <w:r w:rsidRPr="00496FD7">
        <w:rPr>
          <w:szCs w:val="24"/>
          <w:lang w:eastAsia="bg-BG"/>
        </w:rPr>
        <w:t>лизингови операции</w:t>
      </w:r>
      <w:r w:rsidRPr="00496FD7">
        <w:rPr>
          <w:color w:val="000000"/>
          <w:szCs w:val="24"/>
          <w:lang w:eastAsia="bg-BG"/>
        </w:rPr>
        <w:t>, са единствено лизинговите вноски при спазване на следните изисквания:</w:t>
      </w:r>
    </w:p>
    <w:p w:rsidR="007E360C" w:rsidRPr="00496FD7" w:rsidRDefault="007E360C" w:rsidP="007E360C">
      <w:pPr>
        <w:tabs>
          <w:tab w:val="left" w:pos="1418"/>
        </w:tabs>
        <w:spacing w:after="120"/>
        <w:ind w:right="141"/>
        <w:rPr>
          <w:szCs w:val="24"/>
          <w:lang w:eastAsia="bg-BG"/>
        </w:rPr>
      </w:pPr>
      <w:r w:rsidRPr="00496FD7">
        <w:rPr>
          <w:szCs w:val="24"/>
          <w:lang w:eastAsia="bg-BG"/>
        </w:rPr>
        <w:t>1. лизинговите вноски са дължими и платени до изтичане на срока за изпълнение на операцията, финансирана по оперативната програма;</w:t>
      </w:r>
    </w:p>
    <w:p w:rsidR="007E360C" w:rsidRPr="00496FD7" w:rsidRDefault="007E360C" w:rsidP="007E360C">
      <w:pPr>
        <w:tabs>
          <w:tab w:val="left" w:pos="1418"/>
        </w:tabs>
        <w:spacing w:after="120"/>
        <w:ind w:right="141"/>
        <w:rPr>
          <w:szCs w:val="24"/>
          <w:lang w:eastAsia="bg-BG"/>
        </w:rPr>
      </w:pPr>
      <w:r w:rsidRPr="00496FD7">
        <w:rPr>
          <w:szCs w:val="24"/>
          <w:lang w:eastAsia="bg-BG"/>
        </w:rPr>
        <w:t>2. разходът за лизинговите вноски, както и придобиването на актив посредством лизингов договор се доказва с фактура или със счетоводен документ с еквивалентна доказателствена стойност;</w:t>
      </w:r>
    </w:p>
    <w:p w:rsidR="007E360C" w:rsidRPr="00496FD7" w:rsidRDefault="007E360C" w:rsidP="007E360C">
      <w:pPr>
        <w:tabs>
          <w:tab w:val="left" w:pos="1418"/>
        </w:tabs>
        <w:spacing w:after="120"/>
        <w:ind w:right="141"/>
        <w:rPr>
          <w:szCs w:val="24"/>
          <w:lang w:eastAsia="bg-BG"/>
        </w:rPr>
      </w:pPr>
      <w:r w:rsidRPr="00496FD7">
        <w:rPr>
          <w:szCs w:val="24"/>
          <w:lang w:eastAsia="bg-BG"/>
        </w:rPr>
        <w:lastRenderedPageBreak/>
        <w:t>3. максималната допустима цена е по-ниска от пазарната цена за закупуване на актива.</w:t>
      </w:r>
    </w:p>
    <w:p w:rsidR="007E360C" w:rsidRPr="00496FD7" w:rsidRDefault="007E360C" w:rsidP="00E80472">
      <w:pPr>
        <w:pStyle w:val="ListParagraph"/>
        <w:numPr>
          <w:ilvl w:val="1"/>
          <w:numId w:val="98"/>
        </w:numPr>
        <w:tabs>
          <w:tab w:val="left" w:pos="1276"/>
        </w:tabs>
        <w:ind w:left="0" w:right="142" w:firstLine="567"/>
        <w:rPr>
          <w:szCs w:val="24"/>
          <w:lang w:eastAsia="bg-BG"/>
        </w:rPr>
      </w:pPr>
      <w:r w:rsidRPr="00496FD7">
        <w:rPr>
          <w:color w:val="000000"/>
          <w:szCs w:val="24"/>
          <w:lang w:eastAsia="bg-BG"/>
        </w:rPr>
        <w:t xml:space="preserve">Разходите за </w:t>
      </w:r>
      <w:r w:rsidRPr="00496FD7">
        <w:rPr>
          <w:szCs w:val="24"/>
          <w:lang w:eastAsia="bg-BG"/>
        </w:rPr>
        <w:t>закупуване на земя и/или придобиване на ограничени вещни права</w:t>
      </w:r>
      <w:r w:rsidRPr="00496FD7">
        <w:rPr>
          <w:color w:val="000000"/>
          <w:szCs w:val="24"/>
          <w:lang w:eastAsia="bg-BG"/>
        </w:rPr>
        <w:t xml:space="preserve"> са </w:t>
      </w:r>
      <w:r w:rsidRPr="00496FD7">
        <w:rPr>
          <w:szCs w:val="24"/>
          <w:lang w:eastAsia="bg-BG"/>
        </w:rPr>
        <w:t>допустими</w:t>
      </w:r>
      <w:r w:rsidRPr="00496FD7">
        <w:rPr>
          <w:color w:val="000000"/>
          <w:szCs w:val="24"/>
          <w:lang w:eastAsia="bg-BG"/>
        </w:rPr>
        <w:t xml:space="preserve"> при спа</w:t>
      </w:r>
      <w:r w:rsidRPr="00496FD7">
        <w:rPr>
          <w:szCs w:val="24"/>
          <w:lang w:eastAsia="bg-BG"/>
        </w:rPr>
        <w:t>зване на следните условия:</w:t>
      </w:r>
    </w:p>
    <w:p w:rsidR="007E360C" w:rsidRPr="00496FD7" w:rsidRDefault="007E360C" w:rsidP="007E360C">
      <w:pPr>
        <w:tabs>
          <w:tab w:val="left" w:pos="1418"/>
        </w:tabs>
        <w:spacing w:after="120"/>
        <w:ind w:right="141"/>
        <w:rPr>
          <w:szCs w:val="24"/>
          <w:lang w:eastAsia="bg-BG"/>
        </w:rPr>
      </w:pPr>
      <w:r w:rsidRPr="00496FD7">
        <w:rPr>
          <w:szCs w:val="24"/>
          <w:lang w:eastAsia="bg-BG"/>
        </w:rPr>
        <w:t>1. към датата на покупката земята няма вещни и облигационни тежести, които да ограничават свободното й използване за целите на операцията, което се удостоверява с официални документи, издадени от компетентните държавни органи;</w:t>
      </w:r>
    </w:p>
    <w:p w:rsidR="007E360C" w:rsidRPr="00496FD7" w:rsidRDefault="007E360C" w:rsidP="007E360C">
      <w:pPr>
        <w:tabs>
          <w:tab w:val="left" w:pos="1418"/>
        </w:tabs>
        <w:spacing w:after="120"/>
        <w:ind w:right="141"/>
        <w:rPr>
          <w:szCs w:val="24"/>
          <w:lang w:eastAsia="bg-BG"/>
        </w:rPr>
      </w:pPr>
      <w:r w:rsidRPr="00496FD7">
        <w:rPr>
          <w:szCs w:val="24"/>
          <w:lang w:eastAsia="bg-BG"/>
        </w:rPr>
        <w:t>2. продавачът не е закупил земята с публична безвъзмездна помощ дори и частично в периода за последните 10 години преди подаване на проектното предложение;</w:t>
      </w:r>
    </w:p>
    <w:p w:rsidR="007E360C" w:rsidRPr="00496FD7" w:rsidRDefault="007E360C" w:rsidP="007E360C">
      <w:pPr>
        <w:tabs>
          <w:tab w:val="left" w:pos="1418"/>
        </w:tabs>
        <w:spacing w:after="120"/>
        <w:ind w:right="141"/>
        <w:rPr>
          <w:szCs w:val="24"/>
          <w:lang w:eastAsia="bg-BG"/>
        </w:rPr>
      </w:pPr>
      <w:r w:rsidRPr="00496FD7">
        <w:rPr>
          <w:szCs w:val="24"/>
          <w:lang w:eastAsia="bg-BG"/>
        </w:rPr>
        <w:t>3. да има пряка връзка между покупката на земята и/или придобиването на ограничени вещни права и целта на проекта, която трябва да е отразена в договора или в заповедта за предоставяне на финансова подкрепа;</w:t>
      </w:r>
    </w:p>
    <w:p w:rsidR="007E360C" w:rsidRPr="00496FD7" w:rsidRDefault="007E360C" w:rsidP="007E360C">
      <w:pPr>
        <w:tabs>
          <w:tab w:val="left" w:pos="1418"/>
        </w:tabs>
        <w:spacing w:after="120"/>
        <w:ind w:right="141"/>
        <w:rPr>
          <w:szCs w:val="24"/>
          <w:lang w:eastAsia="bg-BG"/>
        </w:rPr>
      </w:pPr>
      <w:r w:rsidRPr="00496FD7">
        <w:rPr>
          <w:szCs w:val="24"/>
          <w:lang w:eastAsia="bg-BG"/>
        </w:rPr>
        <w:t>4. да има издаден документ от сертифициран оценител или от съответно упълномощен служебен орган, удостоверяващ, че цената на придобиване не надвишава пазарната стойност.</w:t>
      </w:r>
    </w:p>
    <w:p w:rsidR="007E360C" w:rsidRPr="00496FD7" w:rsidRDefault="007E360C" w:rsidP="00E80472">
      <w:pPr>
        <w:pStyle w:val="ListParagraph"/>
        <w:numPr>
          <w:ilvl w:val="1"/>
          <w:numId w:val="98"/>
        </w:numPr>
        <w:tabs>
          <w:tab w:val="left" w:pos="1418"/>
        </w:tabs>
        <w:ind w:left="0" w:right="142" w:firstLine="567"/>
        <w:rPr>
          <w:szCs w:val="24"/>
          <w:lang w:eastAsia="bg-BG"/>
        </w:rPr>
      </w:pPr>
      <w:r w:rsidRPr="00496FD7">
        <w:rPr>
          <w:szCs w:val="24"/>
          <w:lang w:eastAsia="bg-BG"/>
        </w:rPr>
        <w:t>Закупуването на незастроени и застроени земи</w:t>
      </w:r>
      <w:r w:rsidRPr="00496FD7">
        <w:rPr>
          <w:color w:val="000000"/>
          <w:szCs w:val="24"/>
          <w:lang w:eastAsia="bg-BG"/>
        </w:rPr>
        <w:t xml:space="preserve"> е допустимо на стойност </w:t>
      </w:r>
      <w:r w:rsidRPr="00496FD7">
        <w:rPr>
          <w:szCs w:val="24"/>
          <w:lang w:eastAsia="bg-BG"/>
        </w:rPr>
        <w:t>до 10 на сто от общите допустими разходи</w:t>
      </w:r>
      <w:r w:rsidRPr="00496FD7">
        <w:rPr>
          <w:color w:val="000000"/>
          <w:szCs w:val="24"/>
          <w:lang w:eastAsia="bg-BG"/>
        </w:rPr>
        <w:t xml:space="preserve"> за съответната операция. За изоставени земи и за такива, използвани преди това за промишлени цели, които включват сгради, това ограничение се увеличава на 15 на сто. При изключителни и добре обосновани случаи може да се разреши по-висок процент от горепосочените проценти за операции, свързани с опазване на околната среда.</w:t>
      </w:r>
    </w:p>
    <w:p w:rsidR="007E360C" w:rsidRPr="00496FD7" w:rsidRDefault="007E360C" w:rsidP="00E80472">
      <w:pPr>
        <w:pStyle w:val="ListParagraph"/>
        <w:numPr>
          <w:ilvl w:val="1"/>
          <w:numId w:val="98"/>
        </w:numPr>
        <w:tabs>
          <w:tab w:val="left" w:pos="1418"/>
        </w:tabs>
        <w:ind w:left="0" w:right="142" w:firstLine="567"/>
        <w:rPr>
          <w:szCs w:val="24"/>
          <w:lang w:eastAsia="bg-BG"/>
        </w:rPr>
      </w:pPr>
      <w:r w:rsidRPr="00496FD7">
        <w:rPr>
          <w:color w:val="000000"/>
          <w:szCs w:val="24"/>
          <w:lang w:eastAsia="bg-BG"/>
        </w:rPr>
        <w:t xml:space="preserve">Допустими за финансиране са следните разходи, при условие че са </w:t>
      </w:r>
      <w:r w:rsidRPr="00496FD7">
        <w:rPr>
          <w:szCs w:val="24"/>
          <w:lang w:eastAsia="bg-BG"/>
        </w:rPr>
        <w:t>пряко свързани</w:t>
      </w:r>
      <w:r w:rsidRPr="00496FD7">
        <w:rPr>
          <w:color w:val="000000"/>
          <w:szCs w:val="24"/>
          <w:lang w:eastAsia="bg-BG"/>
        </w:rPr>
        <w:t xml:space="preserve"> с финансираните операции или дейности и са необходими за тяхната подготовка и осъществяване:</w:t>
      </w:r>
    </w:p>
    <w:p w:rsidR="007E360C" w:rsidRPr="00496FD7" w:rsidRDefault="007E360C" w:rsidP="007E360C">
      <w:pPr>
        <w:tabs>
          <w:tab w:val="left" w:pos="1418"/>
        </w:tabs>
        <w:spacing w:after="120"/>
        <w:ind w:right="141"/>
        <w:rPr>
          <w:szCs w:val="24"/>
          <w:lang w:eastAsia="bg-BG"/>
        </w:rPr>
      </w:pPr>
      <w:r w:rsidRPr="00496FD7">
        <w:rPr>
          <w:szCs w:val="24"/>
          <w:lang w:eastAsia="bg-BG"/>
        </w:rPr>
        <w:t xml:space="preserve">1. разходи за </w:t>
      </w:r>
      <w:r w:rsidRPr="00496FD7">
        <w:rPr>
          <w:b/>
          <w:szCs w:val="24"/>
          <w:lang w:eastAsia="bg-BG"/>
        </w:rPr>
        <w:t>застраховки</w:t>
      </w:r>
      <w:r w:rsidRPr="00496FD7">
        <w:rPr>
          <w:szCs w:val="24"/>
          <w:lang w:eastAsia="bg-BG"/>
        </w:rPr>
        <w:t xml:space="preserve"> на придобитите в резултат на дейността дълготрайни материални активи, ако те са свързани с изискванията, наложени от съответния управляващ орган;</w:t>
      </w:r>
    </w:p>
    <w:p w:rsidR="007E360C" w:rsidRPr="00496FD7" w:rsidRDefault="007E360C" w:rsidP="007E360C">
      <w:pPr>
        <w:tabs>
          <w:tab w:val="left" w:pos="1418"/>
        </w:tabs>
        <w:spacing w:after="120"/>
        <w:ind w:right="141"/>
        <w:rPr>
          <w:szCs w:val="24"/>
          <w:lang w:eastAsia="bg-BG"/>
        </w:rPr>
      </w:pPr>
      <w:r w:rsidRPr="00496FD7">
        <w:rPr>
          <w:szCs w:val="24"/>
          <w:lang w:eastAsia="bg-BG"/>
        </w:rPr>
        <w:t xml:space="preserve">2. разходи за </w:t>
      </w:r>
      <w:r w:rsidRPr="00496FD7">
        <w:rPr>
          <w:b/>
          <w:szCs w:val="24"/>
          <w:lang w:eastAsia="bg-BG"/>
        </w:rPr>
        <w:t>юридически консултации и нотариални услуги</w:t>
      </w:r>
      <w:r w:rsidRPr="00496FD7">
        <w:rPr>
          <w:szCs w:val="24"/>
          <w:lang w:eastAsia="bg-BG"/>
        </w:rPr>
        <w:t>;</w:t>
      </w:r>
    </w:p>
    <w:p w:rsidR="007E360C" w:rsidRPr="00496FD7" w:rsidRDefault="007E360C" w:rsidP="007E360C">
      <w:pPr>
        <w:tabs>
          <w:tab w:val="left" w:pos="1418"/>
        </w:tabs>
        <w:spacing w:after="120"/>
        <w:ind w:right="141"/>
        <w:rPr>
          <w:szCs w:val="24"/>
          <w:lang w:eastAsia="bg-BG"/>
        </w:rPr>
      </w:pPr>
      <w:r w:rsidRPr="00496FD7">
        <w:rPr>
          <w:szCs w:val="24"/>
          <w:lang w:eastAsia="bg-BG"/>
        </w:rPr>
        <w:t xml:space="preserve">3. разходи за </w:t>
      </w:r>
      <w:r w:rsidRPr="00496FD7">
        <w:rPr>
          <w:b/>
          <w:szCs w:val="24"/>
          <w:lang w:eastAsia="bg-BG"/>
        </w:rPr>
        <w:t>технически и финансови експертизи</w:t>
      </w:r>
      <w:r w:rsidRPr="00496FD7">
        <w:rPr>
          <w:szCs w:val="24"/>
          <w:lang w:eastAsia="bg-BG"/>
        </w:rPr>
        <w:t>;</w:t>
      </w:r>
    </w:p>
    <w:p w:rsidR="007E360C" w:rsidRPr="00496FD7" w:rsidRDefault="007E360C" w:rsidP="007E360C">
      <w:pPr>
        <w:tabs>
          <w:tab w:val="left" w:pos="1418"/>
        </w:tabs>
        <w:spacing w:after="120"/>
        <w:ind w:right="141"/>
        <w:rPr>
          <w:szCs w:val="24"/>
          <w:lang w:eastAsia="bg-BG"/>
        </w:rPr>
      </w:pPr>
      <w:r w:rsidRPr="00496FD7">
        <w:rPr>
          <w:szCs w:val="24"/>
          <w:lang w:eastAsia="bg-BG"/>
        </w:rPr>
        <w:t xml:space="preserve">4. разходи за </w:t>
      </w:r>
      <w:r w:rsidRPr="00496FD7">
        <w:rPr>
          <w:b/>
          <w:szCs w:val="24"/>
          <w:lang w:eastAsia="bg-BG"/>
        </w:rPr>
        <w:t>счетоводство</w:t>
      </w:r>
      <w:r w:rsidRPr="00496FD7">
        <w:rPr>
          <w:szCs w:val="24"/>
          <w:lang w:eastAsia="bg-BG"/>
        </w:rPr>
        <w:t>.</w:t>
      </w:r>
    </w:p>
    <w:p w:rsidR="007E360C" w:rsidRPr="00496FD7" w:rsidRDefault="007E360C" w:rsidP="00E80472">
      <w:pPr>
        <w:pStyle w:val="ListParagraph"/>
        <w:numPr>
          <w:ilvl w:val="1"/>
          <w:numId w:val="98"/>
        </w:numPr>
        <w:tabs>
          <w:tab w:val="left" w:pos="1418"/>
        </w:tabs>
        <w:ind w:left="0" w:right="142" w:firstLine="567"/>
        <w:rPr>
          <w:szCs w:val="24"/>
          <w:lang w:eastAsia="bg-BG"/>
        </w:rPr>
      </w:pPr>
      <w:r w:rsidRPr="00496FD7">
        <w:rPr>
          <w:color w:val="000000"/>
          <w:szCs w:val="24"/>
          <w:lang w:eastAsia="bg-BG"/>
        </w:rPr>
        <w:t>Разходи</w:t>
      </w:r>
      <w:r w:rsidRPr="00496FD7">
        <w:rPr>
          <w:szCs w:val="24"/>
          <w:lang w:eastAsia="bg-BG"/>
        </w:rPr>
        <w:t xml:space="preserve"> за подготовката на инвестиционни проекти, включени в допустимите дейности по съответн</w:t>
      </w:r>
      <w:r w:rsidR="00FC29FF">
        <w:rPr>
          <w:szCs w:val="24"/>
          <w:lang w:eastAsia="bg-BG"/>
        </w:rPr>
        <w:t>ия</w:t>
      </w:r>
      <w:r w:rsidRPr="00496FD7">
        <w:rPr>
          <w:szCs w:val="24"/>
          <w:lang w:eastAsia="bg-BG"/>
        </w:rPr>
        <w:t xml:space="preserve"> </w:t>
      </w:r>
      <w:r w:rsidR="00E30976" w:rsidRPr="00496FD7">
        <w:rPr>
          <w:szCs w:val="24"/>
          <w:lang w:eastAsia="bg-BG"/>
        </w:rPr>
        <w:t>приоритет</w:t>
      </w:r>
      <w:r w:rsidR="00FC29FF">
        <w:rPr>
          <w:szCs w:val="24"/>
          <w:lang w:eastAsia="bg-BG"/>
        </w:rPr>
        <w:t xml:space="preserve"> </w:t>
      </w:r>
      <w:r w:rsidRPr="00496FD7">
        <w:rPr>
          <w:szCs w:val="24"/>
          <w:lang w:eastAsia="bg-BG"/>
        </w:rPr>
        <w:t>на ПТС;</w:t>
      </w:r>
    </w:p>
    <w:p w:rsidR="007E360C" w:rsidRPr="00496FD7" w:rsidRDefault="007E360C" w:rsidP="00E80472">
      <w:pPr>
        <w:pStyle w:val="ListParagraph"/>
        <w:numPr>
          <w:ilvl w:val="1"/>
          <w:numId w:val="98"/>
        </w:numPr>
        <w:tabs>
          <w:tab w:val="left" w:pos="1418"/>
        </w:tabs>
        <w:ind w:left="0" w:right="142" w:firstLine="567"/>
        <w:rPr>
          <w:color w:val="000000"/>
          <w:szCs w:val="24"/>
          <w:lang w:eastAsia="bg-BG"/>
        </w:rPr>
      </w:pPr>
      <w:r w:rsidRPr="00496FD7">
        <w:rPr>
          <w:szCs w:val="24"/>
          <w:lang w:eastAsia="bg-BG"/>
        </w:rPr>
        <w:t>Разходи, свързани с приложението на политиките по околна среда и изменението на климата (</w:t>
      </w:r>
      <w:r w:rsidRPr="00496FD7">
        <w:rPr>
          <w:color w:val="000000"/>
          <w:szCs w:val="24"/>
          <w:lang w:eastAsia="bg-BG"/>
        </w:rPr>
        <w:t xml:space="preserve">доклади за оценка на въздействието върху околната среда, оценка за съвместимост, DNSH, климатична устойчивост, НАТУРА 2000 и т.н.), </w:t>
      </w:r>
    </w:p>
    <w:p w:rsidR="007E360C" w:rsidRPr="00496FD7" w:rsidRDefault="007E360C" w:rsidP="00E80472">
      <w:pPr>
        <w:pStyle w:val="ListParagraph"/>
        <w:numPr>
          <w:ilvl w:val="1"/>
          <w:numId w:val="98"/>
        </w:numPr>
        <w:tabs>
          <w:tab w:val="left" w:pos="1418"/>
        </w:tabs>
        <w:ind w:left="0" w:right="142" w:firstLine="567"/>
        <w:rPr>
          <w:color w:val="000000"/>
          <w:szCs w:val="24"/>
          <w:lang w:eastAsia="bg-BG"/>
        </w:rPr>
      </w:pPr>
      <w:r w:rsidRPr="00496FD7">
        <w:rPr>
          <w:color w:val="000000"/>
          <w:szCs w:val="24"/>
          <w:lang w:eastAsia="bg-BG"/>
        </w:rPr>
        <w:t>Разходи за подготовка на формуляр за кандидатстване за финансиране на проекти по ПТС, включително за изготвяне/актуализиране на анализ „Разходи – ползи“, предпроектни, геоложки, археологически, технически проучвания, геодезически заснемания, за проектиране (идейни, технически, работни и др. проекти), за оценка на съответствието на проектите съгласно действащото законодателство и за други необходими анализи и проучвания;</w:t>
      </w:r>
    </w:p>
    <w:p w:rsidR="007E360C" w:rsidRPr="00496FD7" w:rsidRDefault="007E360C" w:rsidP="00E80472">
      <w:pPr>
        <w:pStyle w:val="ListParagraph"/>
        <w:numPr>
          <w:ilvl w:val="1"/>
          <w:numId w:val="98"/>
        </w:numPr>
        <w:tabs>
          <w:tab w:val="left" w:pos="1418"/>
        </w:tabs>
        <w:ind w:left="0" w:right="142" w:firstLine="567"/>
        <w:rPr>
          <w:color w:val="000000"/>
          <w:szCs w:val="24"/>
          <w:lang w:eastAsia="bg-BG"/>
        </w:rPr>
      </w:pPr>
      <w:r w:rsidRPr="00496FD7">
        <w:rPr>
          <w:color w:val="000000"/>
          <w:szCs w:val="24"/>
          <w:lang w:eastAsia="bg-BG"/>
        </w:rPr>
        <w:lastRenderedPageBreak/>
        <w:t>Разходи, свързани с набавянето на необходимите разрешителни документи, изискващи се от националното законодателство, технически планове и свързаните с тях такси, дължими на съответните компетентни органи;</w:t>
      </w:r>
    </w:p>
    <w:p w:rsidR="007E360C" w:rsidRPr="00496FD7" w:rsidRDefault="007E360C" w:rsidP="00E80472">
      <w:pPr>
        <w:pStyle w:val="ListParagraph"/>
        <w:numPr>
          <w:ilvl w:val="1"/>
          <w:numId w:val="98"/>
        </w:numPr>
        <w:tabs>
          <w:tab w:val="left" w:pos="1418"/>
        </w:tabs>
        <w:ind w:left="0" w:right="142" w:firstLine="567"/>
        <w:rPr>
          <w:color w:val="000000"/>
          <w:szCs w:val="24"/>
          <w:lang w:eastAsia="bg-BG"/>
        </w:rPr>
      </w:pPr>
      <w:r w:rsidRPr="00496FD7">
        <w:rPr>
          <w:color w:val="000000"/>
          <w:szCs w:val="24"/>
          <w:lang w:eastAsia="bg-BG"/>
        </w:rPr>
        <w:t>Разходите за закупуване на земя и/или придобиване на ограничени вещни права и/или на застроени недвижими имоти са допустими, в случай че земята става собственост на държавата или на лице, на което са възложени публични/ публичноправни функции.</w:t>
      </w:r>
    </w:p>
    <w:p w:rsidR="007E360C" w:rsidRPr="00496FD7" w:rsidRDefault="007E360C" w:rsidP="00E80472">
      <w:pPr>
        <w:pStyle w:val="ListParagraph"/>
        <w:numPr>
          <w:ilvl w:val="1"/>
          <w:numId w:val="98"/>
        </w:numPr>
        <w:tabs>
          <w:tab w:val="left" w:pos="1418"/>
        </w:tabs>
        <w:ind w:left="0" w:right="142" w:firstLine="567"/>
        <w:rPr>
          <w:szCs w:val="24"/>
          <w:lang w:eastAsia="bg-BG"/>
        </w:rPr>
      </w:pPr>
      <w:r w:rsidRPr="00496FD7">
        <w:rPr>
          <w:color w:val="000000"/>
          <w:szCs w:val="24"/>
          <w:lang w:eastAsia="bg-BG"/>
        </w:rPr>
        <w:t>Разходи за закупуване на дълготрайни материални активи, в т.ч. транспортни средства, при следните условия:</w:t>
      </w:r>
    </w:p>
    <w:p w:rsidR="007E360C" w:rsidRPr="00496FD7" w:rsidRDefault="007E360C" w:rsidP="007E360C">
      <w:pPr>
        <w:pStyle w:val="ListParagraph"/>
        <w:tabs>
          <w:tab w:val="left" w:pos="851"/>
          <w:tab w:val="left" w:pos="1134"/>
        </w:tabs>
        <w:ind w:left="0" w:right="142" w:firstLine="567"/>
        <w:rPr>
          <w:szCs w:val="24"/>
          <w:lang w:eastAsia="bg-BG"/>
        </w:rPr>
      </w:pPr>
      <w:r w:rsidRPr="00496FD7">
        <w:rPr>
          <w:szCs w:val="24"/>
          <w:lang w:eastAsia="bg-BG"/>
        </w:rPr>
        <w:t>а) закупените активи са необходими за изпълнението и/или управлението на операцията и не са постоянно инсталирани на мястото на изпълнение;</w:t>
      </w:r>
    </w:p>
    <w:p w:rsidR="007E360C" w:rsidRPr="00496FD7" w:rsidRDefault="007E360C" w:rsidP="007E360C">
      <w:pPr>
        <w:pStyle w:val="ListParagraph"/>
        <w:tabs>
          <w:tab w:val="left" w:pos="851"/>
          <w:tab w:val="left" w:pos="1134"/>
        </w:tabs>
        <w:ind w:left="0" w:right="142" w:firstLine="567"/>
        <w:rPr>
          <w:szCs w:val="24"/>
          <w:lang w:eastAsia="bg-BG"/>
        </w:rPr>
      </w:pPr>
      <w:r w:rsidRPr="00496FD7">
        <w:rPr>
          <w:szCs w:val="24"/>
          <w:lang w:eastAsia="bg-BG"/>
        </w:rPr>
        <w:t>б) след приключването на операцията активите са без остатъчна стойност при прилагане на правилата за изчисляване на амортизации съгласно Закона за корпоративното подоходно облагане.</w:t>
      </w:r>
    </w:p>
    <w:p w:rsidR="007E360C" w:rsidRPr="00496FD7" w:rsidRDefault="007E360C" w:rsidP="00E80472">
      <w:pPr>
        <w:pStyle w:val="ListParagraph"/>
        <w:numPr>
          <w:ilvl w:val="1"/>
          <w:numId w:val="98"/>
        </w:numPr>
        <w:tabs>
          <w:tab w:val="left" w:pos="1418"/>
        </w:tabs>
        <w:ind w:left="0" w:right="142" w:firstLine="567"/>
        <w:rPr>
          <w:szCs w:val="24"/>
          <w:lang w:eastAsia="bg-BG"/>
        </w:rPr>
      </w:pPr>
      <w:r w:rsidRPr="00496FD7">
        <w:rPr>
          <w:szCs w:val="24"/>
          <w:lang w:eastAsia="bg-BG"/>
        </w:rPr>
        <w:t xml:space="preserve">Непредвидени разходи за инвестиционните проекти, които не могат да надвишават 10 на сто от </w:t>
      </w:r>
      <w:r w:rsidRPr="00496FD7">
        <w:rPr>
          <w:color w:val="000000"/>
          <w:szCs w:val="24"/>
          <w:lang w:eastAsia="bg-BG"/>
        </w:rPr>
        <w:t>общата</w:t>
      </w:r>
      <w:r w:rsidRPr="00496FD7">
        <w:rPr>
          <w:szCs w:val="24"/>
          <w:lang w:eastAsia="bg-BG"/>
        </w:rPr>
        <w:t xml:space="preserve"> сума на разходите след приспадането на непредвидените разходи.</w:t>
      </w:r>
    </w:p>
    <w:p w:rsidR="007E360C" w:rsidRPr="00496FD7" w:rsidRDefault="007E360C" w:rsidP="007E360C">
      <w:pPr>
        <w:spacing w:after="120"/>
        <w:ind w:firstLine="708"/>
        <w:rPr>
          <w:szCs w:val="24"/>
        </w:rPr>
      </w:pPr>
    </w:p>
    <w:p w:rsidR="007E360C" w:rsidRPr="00496FD7" w:rsidRDefault="007E360C" w:rsidP="007E360C">
      <w:pPr>
        <w:spacing w:after="120"/>
        <w:ind w:firstLine="708"/>
        <w:rPr>
          <w:b/>
          <w:szCs w:val="24"/>
          <w:u w:val="single"/>
        </w:rPr>
      </w:pPr>
      <w:bookmarkStart w:id="24" w:name="_Toc442298724"/>
      <w:bookmarkStart w:id="25" w:name="_Toc138077767"/>
      <w:r w:rsidRPr="00496FD7">
        <w:rPr>
          <w:b/>
          <w:szCs w:val="24"/>
          <w:u w:val="single"/>
        </w:rPr>
        <w:t>Недопустими разходи</w:t>
      </w:r>
      <w:bookmarkEnd w:id="24"/>
      <w:bookmarkEnd w:id="25"/>
      <w:r w:rsidRPr="00496FD7">
        <w:rPr>
          <w:b/>
          <w:szCs w:val="24"/>
          <w:u w:val="single"/>
        </w:rPr>
        <w:t xml:space="preserve"> по ПТС</w:t>
      </w:r>
    </w:p>
    <w:p w:rsidR="007E360C" w:rsidRPr="00496FD7" w:rsidRDefault="007E360C" w:rsidP="007E360C">
      <w:pPr>
        <w:spacing w:after="120"/>
        <w:ind w:firstLine="708"/>
        <w:rPr>
          <w:szCs w:val="24"/>
        </w:rPr>
      </w:pPr>
    </w:p>
    <w:p w:rsidR="007E360C" w:rsidRPr="00496FD7" w:rsidRDefault="007E360C" w:rsidP="007E360C">
      <w:pPr>
        <w:spacing w:after="120"/>
        <w:ind w:firstLine="708"/>
        <w:rPr>
          <w:szCs w:val="24"/>
        </w:rPr>
      </w:pPr>
      <w:r w:rsidRPr="00496FD7">
        <w:rPr>
          <w:szCs w:val="24"/>
        </w:rPr>
        <w:t xml:space="preserve">Недопустимите разходи включват i) разходите извън периода на допустимост, ii) недопустимите разходи по силата на приложимите правила на ЕС и национални правила и iii) други непредставени за съфинансиране разходи. </w:t>
      </w:r>
    </w:p>
    <w:p w:rsidR="007E360C" w:rsidRPr="00496FD7" w:rsidRDefault="007E360C" w:rsidP="007E360C">
      <w:pPr>
        <w:spacing w:after="120"/>
        <w:ind w:firstLine="708"/>
        <w:rPr>
          <w:szCs w:val="24"/>
        </w:rPr>
      </w:pPr>
      <w:r w:rsidRPr="00496FD7">
        <w:rPr>
          <w:szCs w:val="24"/>
        </w:rPr>
        <w:t xml:space="preserve">Независимо от гореизброените условия за допустимост на разходите, за недопустими ще се считат всички разходи, които са в противоречие с правилата на Европейските фондове за споделено управление (Регламент (ЕС) 2021/1060 на Европейския парламент и на Съвета от 24 юни 2021 година </w:t>
      </w:r>
      <w:r w:rsidRPr="00496FD7">
        <w:rPr>
          <w:i/>
          <w:szCs w:val="24"/>
        </w:rPr>
        <w:t>за установяване на общоприложимите разпоредби за Европейския фонд за регионално развитие, Европейския социален фонд плюс, Кохезионния фонд, Фонда за справедлив преход и Европейския фонд за морско дело, рибарство и аквакултури, както и на финансовите правила за тях и за фонд „Убежище, миграция и интеграция“, фонд „Вътрешна сигурност“ и Инструмента за финансова подкрепа за управлението на границите и визовата политика</w:t>
      </w:r>
      <w:r w:rsidRPr="00496FD7">
        <w:rPr>
          <w:szCs w:val="24"/>
        </w:rPr>
        <w:t xml:space="preserve">, Регламент (ЕС) 2021/1058 на Европейския парламент и на Съвета от 24 юни 2021 година </w:t>
      </w:r>
      <w:hyperlink r:id="rId8" w:tooltip="32021R1058" w:history="1">
        <w:r w:rsidRPr="00496FD7">
          <w:rPr>
            <w:i/>
            <w:szCs w:val="24"/>
          </w:rPr>
          <w:t>относно Европейския фонд за регионално развитие и относно Кохезионния фонд</w:t>
        </w:r>
      </w:hyperlink>
      <w:r w:rsidRPr="00496FD7">
        <w:rPr>
          <w:szCs w:val="24"/>
        </w:rPr>
        <w:t xml:space="preserve">, Регламент (ЕС, Евратом) 2018/1046 на Европейския парламент и на Съвета от 18 юли 2018 година </w:t>
      </w:r>
      <w:r w:rsidRPr="00496FD7">
        <w:rPr>
          <w:i/>
          <w:szCs w:val="24"/>
        </w:rPr>
        <w:t>за финансовите правила, приложими за общия бюджет на Съюза, за изменение на регламенти (ЕС) № 1296/2013, (ЕС) № 1301/2013, (ЕС) № 1303/2013, (ЕС) № 1304/2013, (ЕС) № 1309/2013, (ЕС) № 1316/2013, (ЕС) № 223/2014 и (ЕС) № 283/2014 и на Решение № 541/2014/ЕС и за отмяна на Регламент (ЕС, Евратом) № 966/2012)</w:t>
      </w:r>
      <w:r w:rsidRPr="00496FD7">
        <w:rPr>
          <w:szCs w:val="24"/>
        </w:rPr>
        <w:t xml:space="preserve">, Закона за управление на средствата от европейските фондове при споделено управление и съответната поднормативна уредба, уреждаща национални правила за допустимост на разходите за средствата от ЕФСУ. </w:t>
      </w:r>
    </w:p>
    <w:p w:rsidR="007E360C" w:rsidRPr="00496FD7" w:rsidRDefault="007E360C" w:rsidP="007E360C">
      <w:pPr>
        <w:spacing w:after="120"/>
        <w:ind w:firstLine="708"/>
        <w:rPr>
          <w:szCs w:val="24"/>
        </w:rPr>
      </w:pPr>
      <w:r w:rsidRPr="00496FD7">
        <w:rPr>
          <w:szCs w:val="24"/>
        </w:rPr>
        <w:t>Съгласно член 64 на Регламент 2021/1060 относно недопустимите разходи:</w:t>
      </w:r>
    </w:p>
    <w:p w:rsidR="007E360C" w:rsidRPr="00496FD7" w:rsidRDefault="007E360C" w:rsidP="00E80472">
      <w:pPr>
        <w:pStyle w:val="ListParagraph"/>
        <w:numPr>
          <w:ilvl w:val="0"/>
          <w:numId w:val="99"/>
        </w:numPr>
        <w:spacing w:after="120"/>
        <w:rPr>
          <w:color w:val="333333"/>
          <w:szCs w:val="24"/>
          <w:lang w:eastAsia="bg-BG"/>
        </w:rPr>
      </w:pPr>
      <w:r w:rsidRPr="00496FD7">
        <w:rPr>
          <w:color w:val="333333"/>
          <w:szCs w:val="24"/>
          <w:lang w:eastAsia="bg-BG"/>
        </w:rPr>
        <w:t>Следните разходи не са допустими за получаване на принос от фондовете:</w:t>
      </w:r>
    </w:p>
    <w:p w:rsidR="007E360C" w:rsidRPr="00496FD7" w:rsidRDefault="007E360C" w:rsidP="007E360C">
      <w:pPr>
        <w:spacing w:after="120"/>
        <w:ind w:firstLine="708"/>
        <w:rPr>
          <w:szCs w:val="24"/>
        </w:rPr>
      </w:pPr>
      <w:r w:rsidRPr="00496FD7">
        <w:rPr>
          <w:szCs w:val="24"/>
        </w:rPr>
        <w:lastRenderedPageBreak/>
        <w:t>а) лихви по дългове, освен във връзка с безвъзмездни средства, предоставени под формата на лихвени субсидии или субсидии за гаранционни такси;</w:t>
      </w:r>
    </w:p>
    <w:p w:rsidR="007E360C" w:rsidRPr="00496FD7" w:rsidRDefault="007E360C" w:rsidP="007E360C">
      <w:pPr>
        <w:shd w:val="clear" w:color="auto" w:fill="FFFFFF"/>
        <w:spacing w:before="120" w:line="312" w:lineRule="atLeast"/>
        <w:ind w:firstLine="708"/>
        <w:rPr>
          <w:color w:val="333333"/>
          <w:szCs w:val="24"/>
          <w:lang w:eastAsia="bg-BG"/>
        </w:rPr>
      </w:pPr>
      <w:r w:rsidRPr="00496FD7">
        <w:rPr>
          <w:szCs w:val="24"/>
        </w:rPr>
        <w:t xml:space="preserve">б) покупка на земя на стойност над 10 % от общите допустими разходи за съответната операция; за изоставени земи и за такива, използвани преди това за промишлени цели, които включват сгради, това ограничение се увеличава на 15 %. </w:t>
      </w:r>
      <w:r w:rsidRPr="00496FD7">
        <w:rPr>
          <w:color w:val="333333"/>
          <w:szCs w:val="24"/>
          <w:lang w:eastAsia="bg-BG"/>
        </w:rPr>
        <w:t>Буква б) по т.1 не се прилага за операции, свързани с опазването на околната среда.</w:t>
      </w:r>
      <w:r w:rsidRPr="00496FD7">
        <w:rPr>
          <w:szCs w:val="24"/>
        </w:rPr>
        <w:t xml:space="preserve">; </w:t>
      </w:r>
    </w:p>
    <w:p w:rsidR="007E360C" w:rsidRPr="00496FD7" w:rsidRDefault="007E360C" w:rsidP="007E360C">
      <w:pPr>
        <w:spacing w:after="120"/>
        <w:rPr>
          <w:szCs w:val="24"/>
        </w:rPr>
      </w:pPr>
    </w:p>
    <w:p w:rsidR="007E360C" w:rsidRPr="00496FD7" w:rsidRDefault="007E360C" w:rsidP="007E360C">
      <w:pPr>
        <w:spacing w:after="120"/>
        <w:ind w:firstLine="708"/>
        <w:rPr>
          <w:szCs w:val="24"/>
        </w:rPr>
      </w:pPr>
      <w:r w:rsidRPr="00496FD7">
        <w:rPr>
          <w:szCs w:val="24"/>
        </w:rPr>
        <w:t>Съгласно националното законодателство в областта на ДДС - чл.8, на ПМС № 86/2023 г. данък върху добавената стойност (ДДС), когато ДДС подлежи на възстановяване не е допустим за финансиране от ЕФСУ.</w:t>
      </w:r>
    </w:p>
    <w:p w:rsidR="007E360C" w:rsidRPr="00496FD7" w:rsidRDefault="007E360C" w:rsidP="007E360C">
      <w:pPr>
        <w:spacing w:after="120"/>
        <w:rPr>
          <w:szCs w:val="24"/>
        </w:rPr>
      </w:pPr>
    </w:p>
    <w:p w:rsidR="007E360C" w:rsidRPr="00496FD7" w:rsidRDefault="007E360C" w:rsidP="007E360C">
      <w:pPr>
        <w:spacing w:after="120"/>
        <w:ind w:firstLine="708"/>
        <w:rPr>
          <w:szCs w:val="24"/>
        </w:rPr>
      </w:pPr>
      <w:r w:rsidRPr="00496FD7">
        <w:rPr>
          <w:szCs w:val="24"/>
        </w:rPr>
        <w:t>Съгласно член 7, на Регламент 2021/1058 „Изключване от обхвата на ЕФРР и Кохезионния фонд“ ЕФРР и Кохезионният фонд не подкрепят:</w:t>
      </w:r>
    </w:p>
    <w:p w:rsidR="007E360C" w:rsidRPr="00496FD7" w:rsidRDefault="007E360C" w:rsidP="007E360C">
      <w:pPr>
        <w:spacing w:after="120"/>
        <w:ind w:left="426"/>
        <w:rPr>
          <w:szCs w:val="24"/>
        </w:rPr>
      </w:pPr>
      <w:r w:rsidRPr="00496FD7">
        <w:rPr>
          <w:szCs w:val="24"/>
        </w:rPr>
        <w:t>а) извеждането от експлоатация или изграждането на атомни електроцентрали;</w:t>
      </w:r>
    </w:p>
    <w:p w:rsidR="007E360C" w:rsidRPr="00496FD7" w:rsidRDefault="007E360C" w:rsidP="007E360C">
      <w:pPr>
        <w:spacing w:after="120"/>
        <w:ind w:left="426"/>
        <w:rPr>
          <w:szCs w:val="24"/>
        </w:rPr>
      </w:pPr>
      <w:r w:rsidRPr="00496FD7">
        <w:rPr>
          <w:szCs w:val="24"/>
        </w:rPr>
        <w:t>б) инвестиции за постигане на намаляване на емисиите на парникови газове от дейности, посочени в приложение I към Директива 2003/87/ЕО;</w:t>
      </w:r>
    </w:p>
    <w:p w:rsidR="007E360C" w:rsidRPr="00496FD7" w:rsidRDefault="007E360C" w:rsidP="007E360C">
      <w:pPr>
        <w:spacing w:after="120"/>
        <w:ind w:left="426"/>
        <w:rPr>
          <w:szCs w:val="24"/>
        </w:rPr>
      </w:pPr>
      <w:r w:rsidRPr="00496FD7">
        <w:rPr>
          <w:szCs w:val="24"/>
        </w:rPr>
        <w:t>в) производството, преработката и продажбата на тютюн и тютюневи изделия;</w:t>
      </w:r>
    </w:p>
    <w:p w:rsidR="007E360C" w:rsidRPr="00496FD7" w:rsidRDefault="007E360C" w:rsidP="007E360C">
      <w:pPr>
        <w:spacing w:after="120"/>
        <w:ind w:firstLine="426"/>
        <w:rPr>
          <w:szCs w:val="24"/>
        </w:rPr>
      </w:pPr>
      <w:r w:rsidRPr="00496FD7">
        <w:rPr>
          <w:szCs w:val="24"/>
        </w:rPr>
        <w:t>г) предприятиe в затруднено положение, както e определенo в член 2, точка 18 от Регламент (ЕС) № 651/2014, освен ако предоставянето на подкрепа е разрешено по силата на правила за предоставяне на помощ de minimis или на правила за временна държавна помощ, предназначени за справяне с извънредни обстоятелства;</w:t>
      </w:r>
    </w:p>
    <w:p w:rsidR="007E360C" w:rsidRPr="00496FD7" w:rsidRDefault="007E360C" w:rsidP="007E360C">
      <w:pPr>
        <w:spacing w:after="120"/>
        <w:ind w:firstLine="426"/>
        <w:rPr>
          <w:szCs w:val="24"/>
        </w:rPr>
      </w:pPr>
      <w:r w:rsidRPr="00496FD7">
        <w:rPr>
          <w:szCs w:val="24"/>
        </w:rPr>
        <w:t>д) инвестиции в летищна инфраструктура, с изключение на най-отдалечените региони, или в съществуващи регионални летища, както е определено в член 2, точка 153 от Регламент (ЕС) № 651/2014, във всеки от следните случаи:</w:t>
      </w:r>
    </w:p>
    <w:p w:rsidR="007E360C" w:rsidRPr="00496FD7" w:rsidRDefault="007E360C" w:rsidP="007E360C">
      <w:pPr>
        <w:spacing w:after="120"/>
        <w:rPr>
          <w:szCs w:val="24"/>
        </w:rPr>
      </w:pPr>
      <w:r w:rsidRPr="00496FD7">
        <w:rPr>
          <w:szCs w:val="24"/>
        </w:rPr>
        <w:t>i) при мерките за смекчаване на въздействието върху околната среда; или</w:t>
      </w:r>
    </w:p>
    <w:p w:rsidR="007E360C" w:rsidRPr="00496FD7" w:rsidRDefault="007E360C" w:rsidP="007E360C">
      <w:pPr>
        <w:spacing w:after="120"/>
        <w:rPr>
          <w:szCs w:val="24"/>
        </w:rPr>
      </w:pPr>
      <w:r w:rsidRPr="00496FD7">
        <w:rPr>
          <w:szCs w:val="24"/>
        </w:rPr>
        <w:t>ii) при системи за сигурност, безопасност и управление на въздушното движение, произтичащи от системата за управление на въздушното движение;</w:t>
      </w:r>
    </w:p>
    <w:p w:rsidR="007E360C" w:rsidRPr="00496FD7" w:rsidRDefault="007E360C" w:rsidP="007E360C">
      <w:pPr>
        <w:spacing w:after="120"/>
        <w:ind w:firstLine="426"/>
        <w:rPr>
          <w:szCs w:val="24"/>
        </w:rPr>
      </w:pPr>
      <w:r w:rsidRPr="00496FD7">
        <w:rPr>
          <w:szCs w:val="24"/>
        </w:rPr>
        <w:t>е) инвестиции за обезвреждане на отпадъците в депа за отпадъци, с изключение на:</w:t>
      </w:r>
    </w:p>
    <w:p w:rsidR="007E360C" w:rsidRPr="00496FD7" w:rsidRDefault="007E360C" w:rsidP="007E360C">
      <w:pPr>
        <w:spacing w:after="120"/>
        <w:rPr>
          <w:szCs w:val="24"/>
        </w:rPr>
      </w:pPr>
      <w:r w:rsidRPr="00496FD7">
        <w:rPr>
          <w:szCs w:val="24"/>
        </w:rPr>
        <w:t>i) най-отдалечените региони, само в надлежно обосновани случаи; или</w:t>
      </w:r>
    </w:p>
    <w:p w:rsidR="007E360C" w:rsidRPr="00496FD7" w:rsidRDefault="007E360C" w:rsidP="007E360C">
      <w:pPr>
        <w:spacing w:after="120"/>
        <w:rPr>
          <w:szCs w:val="24"/>
        </w:rPr>
      </w:pPr>
      <w:r w:rsidRPr="00496FD7">
        <w:rPr>
          <w:szCs w:val="24"/>
        </w:rPr>
        <w:t>ii) инвестициите за извеждане от експлоатация, преобразуване или обезопасяване на съществуващи депа, при условие че тези инвестиции не увеличават капацитета им;</w:t>
      </w:r>
    </w:p>
    <w:p w:rsidR="007E360C" w:rsidRPr="00496FD7" w:rsidRDefault="007E360C" w:rsidP="007E360C">
      <w:pPr>
        <w:spacing w:after="120"/>
        <w:ind w:firstLine="426"/>
        <w:rPr>
          <w:szCs w:val="24"/>
        </w:rPr>
      </w:pPr>
      <w:r w:rsidRPr="00496FD7">
        <w:rPr>
          <w:szCs w:val="24"/>
        </w:rPr>
        <w:t>ж) инвестиции за увеличаване на капацитета на съоръжения за третиране на остатъчни отпадъци, с изключение на:</w:t>
      </w:r>
    </w:p>
    <w:p w:rsidR="007E360C" w:rsidRPr="00496FD7" w:rsidRDefault="007E360C" w:rsidP="00E80472">
      <w:pPr>
        <w:pStyle w:val="ListParagraph"/>
        <w:numPr>
          <w:ilvl w:val="0"/>
          <w:numId w:val="100"/>
        </w:numPr>
        <w:spacing w:after="120"/>
        <w:ind w:hanging="371"/>
        <w:rPr>
          <w:szCs w:val="24"/>
        </w:rPr>
      </w:pPr>
      <w:r w:rsidRPr="00496FD7">
        <w:rPr>
          <w:szCs w:val="24"/>
        </w:rPr>
        <w:t>най-отдалечените региони, само в надлежно обосновани случаи;</w:t>
      </w:r>
    </w:p>
    <w:p w:rsidR="007E360C" w:rsidRPr="00496FD7" w:rsidRDefault="007E360C" w:rsidP="00E80472">
      <w:pPr>
        <w:pStyle w:val="ListParagraph"/>
        <w:numPr>
          <w:ilvl w:val="0"/>
          <w:numId w:val="100"/>
        </w:numPr>
        <w:spacing w:after="120"/>
        <w:ind w:hanging="371"/>
        <w:rPr>
          <w:szCs w:val="24"/>
        </w:rPr>
      </w:pPr>
      <w:r w:rsidRPr="00496FD7">
        <w:rPr>
          <w:szCs w:val="24"/>
        </w:rPr>
        <w:t>инвестициите в технологии за оползотворяване на материали остатъчни отпадъци за целите на кръговата икономика;</w:t>
      </w:r>
    </w:p>
    <w:p w:rsidR="007E360C" w:rsidRPr="00496FD7" w:rsidRDefault="007E360C" w:rsidP="007E360C">
      <w:pPr>
        <w:spacing w:after="120"/>
        <w:ind w:firstLine="426"/>
        <w:rPr>
          <w:szCs w:val="24"/>
        </w:rPr>
      </w:pPr>
      <w:r w:rsidRPr="00496FD7">
        <w:rPr>
          <w:szCs w:val="24"/>
        </w:rPr>
        <w:t>з) инвестиции, свързани с производството, преработката, транспорта, разпространението, съхранението или изгарянето на изкопаеми горива, с изключение на:</w:t>
      </w:r>
    </w:p>
    <w:p w:rsidR="007E360C" w:rsidRPr="00496FD7" w:rsidRDefault="007E360C" w:rsidP="00E80472">
      <w:pPr>
        <w:pStyle w:val="ListParagraph"/>
        <w:numPr>
          <w:ilvl w:val="0"/>
          <w:numId w:val="102"/>
        </w:numPr>
        <w:spacing w:after="120"/>
        <w:ind w:hanging="371"/>
        <w:rPr>
          <w:szCs w:val="24"/>
        </w:rPr>
      </w:pPr>
      <w:r w:rsidRPr="00496FD7">
        <w:rPr>
          <w:szCs w:val="24"/>
        </w:rPr>
        <w:lastRenderedPageBreak/>
        <w:t>замяната на отоплителни системи на твърди изкопаеми горива, а именно въглища, торф, лигнитни въглища, нефтени шисти, с газови отоплителни системи с цел:</w:t>
      </w:r>
    </w:p>
    <w:p w:rsidR="007E360C" w:rsidRPr="00496FD7" w:rsidRDefault="007E360C" w:rsidP="007E360C">
      <w:pPr>
        <w:spacing w:after="120"/>
        <w:rPr>
          <w:szCs w:val="24"/>
        </w:rPr>
      </w:pPr>
      <w:r w:rsidRPr="00496FD7">
        <w:rPr>
          <w:szCs w:val="24"/>
        </w:rPr>
        <w:t>—осъвременяване на районните отоплителни и охладителни системи до статуса на „ефективни районни отоплителни и охладителни системи“ съгласно определението в член 2, точка 41 от Директива 2012/27/ЕС;</w:t>
      </w:r>
    </w:p>
    <w:p w:rsidR="007E360C" w:rsidRPr="00496FD7" w:rsidRDefault="007E360C" w:rsidP="007E360C">
      <w:pPr>
        <w:spacing w:after="120"/>
        <w:rPr>
          <w:szCs w:val="24"/>
        </w:rPr>
      </w:pPr>
      <w:r w:rsidRPr="00496FD7">
        <w:rPr>
          <w:szCs w:val="24"/>
        </w:rPr>
        <w:t>—модернизиране на инсталациите за комбинирано производство на топлинна и електрическа енергия до статуса на „високоефективно комбинирано производство на енергия“ съгласно определението в член 2, точка 34 от Директива 2012/27/ЕС;</w:t>
      </w:r>
    </w:p>
    <w:p w:rsidR="007E360C" w:rsidRPr="00496FD7" w:rsidRDefault="007E360C" w:rsidP="007E360C">
      <w:pPr>
        <w:spacing w:after="120"/>
        <w:rPr>
          <w:szCs w:val="24"/>
        </w:rPr>
      </w:pPr>
      <w:r w:rsidRPr="00496FD7">
        <w:rPr>
          <w:szCs w:val="24"/>
        </w:rPr>
        <w:t>—инвестиции в котли и отоплителни инсталации, работещи с природен газ, в жилища и сгради, заместващи инсталации, работещи на базата на въглища, торф, лигнитни въглища или нефтени шисти;</w:t>
      </w:r>
    </w:p>
    <w:p w:rsidR="007E360C" w:rsidRPr="00496FD7" w:rsidRDefault="007E360C" w:rsidP="00E80472">
      <w:pPr>
        <w:pStyle w:val="ListParagraph"/>
        <w:numPr>
          <w:ilvl w:val="0"/>
          <w:numId w:val="102"/>
        </w:numPr>
        <w:spacing w:after="120"/>
        <w:ind w:hanging="371"/>
        <w:rPr>
          <w:szCs w:val="24"/>
        </w:rPr>
      </w:pPr>
      <w:r w:rsidRPr="00496FD7">
        <w:rPr>
          <w:szCs w:val="24"/>
        </w:rPr>
        <w:t>инвестиции в разширяването и промяната на предназначението, преобразуването или преоборудването на газопреносни и разпределителни мрежи, при условие че тези инвестиции подготвят мрежите за добавяне в системата на възобновяеми и нисковъглеродни газове, като водород, биометан и синтетичен газ, и позволяват заместването на инсталации за твърди изкопаеми горива;</w:t>
      </w:r>
    </w:p>
    <w:p w:rsidR="007E360C" w:rsidRPr="00496FD7" w:rsidRDefault="007E360C" w:rsidP="00E80472">
      <w:pPr>
        <w:pStyle w:val="ListParagraph"/>
        <w:numPr>
          <w:ilvl w:val="0"/>
          <w:numId w:val="102"/>
        </w:numPr>
        <w:spacing w:after="120"/>
        <w:ind w:hanging="371"/>
        <w:rPr>
          <w:szCs w:val="24"/>
        </w:rPr>
      </w:pPr>
      <w:r w:rsidRPr="00496FD7">
        <w:rPr>
          <w:szCs w:val="24"/>
        </w:rPr>
        <w:t>инвестиции в:</w:t>
      </w:r>
    </w:p>
    <w:p w:rsidR="007E360C" w:rsidRPr="00496FD7" w:rsidRDefault="007E360C" w:rsidP="00E80472">
      <w:pPr>
        <w:pStyle w:val="ListParagraph"/>
        <w:numPr>
          <w:ilvl w:val="0"/>
          <w:numId w:val="101"/>
        </w:numPr>
        <w:spacing w:after="120"/>
        <w:rPr>
          <w:szCs w:val="24"/>
        </w:rPr>
      </w:pPr>
      <w:r w:rsidRPr="00496FD7">
        <w:rPr>
          <w:szCs w:val="24"/>
        </w:rPr>
        <w:t>чисти превозни средства, както е определено в Директива 2009/33/ЕО на Европейския парламент и на Съвета (22) за обществени цели; и</w:t>
      </w:r>
    </w:p>
    <w:p w:rsidR="007E360C" w:rsidRPr="00496FD7" w:rsidRDefault="007E360C" w:rsidP="00E80472">
      <w:pPr>
        <w:pStyle w:val="ListParagraph"/>
        <w:numPr>
          <w:ilvl w:val="0"/>
          <w:numId w:val="101"/>
        </w:numPr>
        <w:spacing w:after="120"/>
        <w:rPr>
          <w:szCs w:val="24"/>
        </w:rPr>
      </w:pPr>
      <w:r w:rsidRPr="00496FD7">
        <w:rPr>
          <w:szCs w:val="24"/>
        </w:rPr>
        <w:t>превозни средства, въздухоплавателни средства и плавателни съдове, проектирани и конструирани или приспособени за използване от службите за гражданска защита и противопожарните служби.</w:t>
      </w:r>
    </w:p>
    <w:p w:rsidR="007E360C" w:rsidRPr="00496FD7" w:rsidRDefault="007E360C" w:rsidP="00E80472">
      <w:pPr>
        <w:pStyle w:val="ListParagraph"/>
        <w:numPr>
          <w:ilvl w:val="0"/>
          <w:numId w:val="101"/>
        </w:numPr>
        <w:spacing w:after="120"/>
        <w:rPr>
          <w:szCs w:val="24"/>
        </w:rPr>
      </w:pPr>
      <w:r w:rsidRPr="00496FD7">
        <w:rPr>
          <w:szCs w:val="24"/>
        </w:rPr>
        <w:t>разходи за наем на машини, съоръжения и оборудване за постоянно ползване след приключване на проекта;</w:t>
      </w:r>
    </w:p>
    <w:p w:rsidR="007E360C" w:rsidRPr="00496FD7" w:rsidRDefault="007E360C" w:rsidP="00E80472">
      <w:pPr>
        <w:pStyle w:val="ListParagraph"/>
        <w:numPr>
          <w:ilvl w:val="0"/>
          <w:numId w:val="101"/>
        </w:numPr>
        <w:spacing w:after="120"/>
        <w:rPr>
          <w:szCs w:val="24"/>
        </w:rPr>
      </w:pPr>
      <w:r w:rsidRPr="00496FD7">
        <w:rPr>
          <w:szCs w:val="24"/>
        </w:rPr>
        <w:t>Разходи за закупуване на дълготрайни материални активи, в т.ч. транспортни средства, които не отговарят на условията в предишната точка;</w:t>
      </w:r>
    </w:p>
    <w:p w:rsidR="007E360C" w:rsidRPr="00496FD7" w:rsidRDefault="007E360C" w:rsidP="00E80472">
      <w:pPr>
        <w:pStyle w:val="ListParagraph"/>
        <w:numPr>
          <w:ilvl w:val="0"/>
          <w:numId w:val="101"/>
        </w:numPr>
        <w:spacing w:after="120"/>
        <w:rPr>
          <w:szCs w:val="24"/>
        </w:rPr>
      </w:pPr>
      <w:r w:rsidRPr="00496FD7">
        <w:rPr>
          <w:szCs w:val="24"/>
        </w:rPr>
        <w:t>разходи за последваща експлоатация и поддръжка (освен гаранционната поддръжка);</w:t>
      </w:r>
    </w:p>
    <w:p w:rsidR="007E360C" w:rsidRPr="00496FD7" w:rsidRDefault="007E360C" w:rsidP="00E80472">
      <w:pPr>
        <w:pStyle w:val="ListParagraph"/>
        <w:numPr>
          <w:ilvl w:val="0"/>
          <w:numId w:val="101"/>
        </w:numPr>
        <w:spacing w:after="120"/>
        <w:rPr>
          <w:szCs w:val="24"/>
        </w:rPr>
      </w:pPr>
      <w:r w:rsidRPr="00496FD7">
        <w:rPr>
          <w:szCs w:val="24"/>
        </w:rPr>
        <w:t>разходи, надхвърлящи нормативно определени максимални размери, както и разходи, надхвърлящи процентните ограничения и/или максималната стойност за тях, включена в Условията за кандидатстване;</w:t>
      </w:r>
    </w:p>
    <w:p w:rsidR="007E360C" w:rsidRPr="00496FD7" w:rsidRDefault="007E360C" w:rsidP="00E80472">
      <w:pPr>
        <w:pStyle w:val="ListParagraph"/>
        <w:numPr>
          <w:ilvl w:val="0"/>
          <w:numId w:val="101"/>
        </w:numPr>
        <w:spacing w:after="120"/>
        <w:rPr>
          <w:szCs w:val="24"/>
        </w:rPr>
      </w:pPr>
      <w:r w:rsidRPr="00496FD7">
        <w:rPr>
          <w:szCs w:val="24"/>
        </w:rPr>
        <w:t>глоби, финансови санкции и разходи за разрешаване на спорове;</w:t>
      </w:r>
    </w:p>
    <w:p w:rsidR="007E360C" w:rsidRPr="00496FD7" w:rsidRDefault="007E360C" w:rsidP="00E80472">
      <w:pPr>
        <w:pStyle w:val="ListParagraph"/>
        <w:numPr>
          <w:ilvl w:val="0"/>
          <w:numId w:val="101"/>
        </w:numPr>
        <w:spacing w:after="120"/>
        <w:rPr>
          <w:szCs w:val="24"/>
        </w:rPr>
      </w:pPr>
      <w:r w:rsidRPr="00496FD7">
        <w:rPr>
          <w:szCs w:val="24"/>
        </w:rPr>
        <w:t xml:space="preserve">ДДС върху недопустими дейности; </w:t>
      </w:r>
    </w:p>
    <w:p w:rsidR="007E360C" w:rsidRPr="00496FD7" w:rsidRDefault="007E360C" w:rsidP="00E80472">
      <w:pPr>
        <w:pStyle w:val="ListParagraph"/>
        <w:numPr>
          <w:ilvl w:val="0"/>
          <w:numId w:val="101"/>
        </w:numPr>
        <w:spacing w:after="120"/>
        <w:rPr>
          <w:szCs w:val="24"/>
        </w:rPr>
      </w:pPr>
      <w:r w:rsidRPr="00496FD7">
        <w:rPr>
          <w:szCs w:val="24"/>
        </w:rPr>
        <w:t>закупуване на дълготрайни материални активи – втора употреба;</w:t>
      </w:r>
    </w:p>
    <w:p w:rsidR="007E360C" w:rsidRPr="00496FD7" w:rsidRDefault="007E360C" w:rsidP="00E80472">
      <w:pPr>
        <w:pStyle w:val="ListParagraph"/>
        <w:numPr>
          <w:ilvl w:val="0"/>
          <w:numId w:val="101"/>
        </w:numPr>
        <w:spacing w:after="120"/>
        <w:rPr>
          <w:szCs w:val="24"/>
        </w:rPr>
      </w:pPr>
      <w:r w:rsidRPr="00496FD7">
        <w:rPr>
          <w:szCs w:val="24"/>
        </w:rPr>
        <w:t>разходи за финансиране на операции, които към момента на избирането им за финансиране от ЕФСУ са били физически завършени или изцяло осъществени преди подаването на проектното предложение за финансиране по програмата от страна на бенефициента, независимо дали всички свързани плащания са направени от бенефициента или не (съгласно чл. 63, параграф 6 от Регламент (ЕС) № 2021/1060 );</w:t>
      </w:r>
    </w:p>
    <w:p w:rsidR="007E360C" w:rsidRPr="00496FD7" w:rsidRDefault="007E360C" w:rsidP="00E80472">
      <w:pPr>
        <w:pStyle w:val="ListParagraph"/>
        <w:numPr>
          <w:ilvl w:val="0"/>
          <w:numId w:val="101"/>
        </w:numPr>
        <w:spacing w:after="120"/>
        <w:rPr>
          <w:szCs w:val="24"/>
        </w:rPr>
      </w:pPr>
      <w:r w:rsidRPr="00496FD7">
        <w:rPr>
          <w:szCs w:val="24"/>
        </w:rPr>
        <w:t xml:space="preserve">разходи, които вече са финансирани със средства от ЕФСУ или чрез други инструменти на Европейския съюз, както и с други публични средства, различни от тези на бенефициента; </w:t>
      </w:r>
    </w:p>
    <w:p w:rsidR="007E360C" w:rsidRPr="00496FD7" w:rsidRDefault="007E360C" w:rsidP="00E80472">
      <w:pPr>
        <w:pStyle w:val="ListParagraph"/>
        <w:numPr>
          <w:ilvl w:val="0"/>
          <w:numId w:val="101"/>
        </w:numPr>
        <w:spacing w:after="120"/>
        <w:rPr>
          <w:szCs w:val="24"/>
        </w:rPr>
      </w:pPr>
      <w:r w:rsidRPr="00496FD7">
        <w:rPr>
          <w:szCs w:val="24"/>
        </w:rPr>
        <w:t xml:space="preserve">с цел гарантиране в максимална степен на спазването на принципа за „ненанасяне на значителни вреди“, по процедурата няма да се финансират разходи за: </w:t>
      </w:r>
    </w:p>
    <w:p w:rsidR="007E360C" w:rsidRPr="00496FD7" w:rsidRDefault="007E360C" w:rsidP="007E360C">
      <w:pPr>
        <w:pStyle w:val="ListParagraph"/>
        <w:spacing w:after="120"/>
        <w:rPr>
          <w:szCs w:val="24"/>
        </w:rPr>
      </w:pPr>
      <w:r w:rsidRPr="00496FD7">
        <w:rPr>
          <w:szCs w:val="24"/>
        </w:rPr>
        <w:t xml:space="preserve">i) дейности и активи, свързани с изкопаеми горива, включително използване надолу по веригата; </w:t>
      </w:r>
    </w:p>
    <w:p w:rsidR="007E360C" w:rsidRPr="00496FD7" w:rsidRDefault="007E360C" w:rsidP="007E360C">
      <w:pPr>
        <w:pStyle w:val="ListParagraph"/>
        <w:spacing w:after="120"/>
        <w:rPr>
          <w:szCs w:val="24"/>
        </w:rPr>
      </w:pPr>
      <w:r w:rsidRPr="00496FD7">
        <w:rPr>
          <w:szCs w:val="24"/>
        </w:rPr>
        <w:lastRenderedPageBreak/>
        <w:t>ii) дейности и активи по схемата на ЕС за търговия с емисии, при които прогнозните емисии на парникови газове не са по-ниски от съответните референтни стойности;</w:t>
      </w:r>
    </w:p>
    <w:p w:rsidR="007E360C" w:rsidRPr="00496FD7" w:rsidRDefault="007E360C" w:rsidP="007E360C">
      <w:pPr>
        <w:pStyle w:val="ListParagraph"/>
        <w:spacing w:after="120"/>
        <w:rPr>
          <w:szCs w:val="24"/>
        </w:rPr>
      </w:pPr>
      <w:r w:rsidRPr="00496FD7">
        <w:rPr>
          <w:szCs w:val="24"/>
        </w:rPr>
        <w:t xml:space="preserve">iii) дейности и активи, свързани със сметища, инсталации за изгаряне на отпадъци и заводи за механично-биологично третиране; </w:t>
      </w:r>
    </w:p>
    <w:p w:rsidR="007E360C" w:rsidRPr="00496FD7" w:rsidRDefault="007E360C" w:rsidP="007E360C">
      <w:pPr>
        <w:pStyle w:val="ListParagraph"/>
        <w:spacing w:after="120"/>
        <w:rPr>
          <w:szCs w:val="24"/>
        </w:rPr>
      </w:pPr>
    </w:p>
    <w:p w:rsidR="007E360C" w:rsidRPr="00496FD7" w:rsidRDefault="007E360C" w:rsidP="007E360C">
      <w:pPr>
        <w:pStyle w:val="ListParagraph"/>
        <w:spacing w:after="120"/>
        <w:rPr>
          <w:szCs w:val="24"/>
        </w:rPr>
      </w:pPr>
      <w:r w:rsidRPr="00496FD7">
        <w:rPr>
          <w:szCs w:val="24"/>
        </w:rPr>
        <w:t>iv) дейности и активи, при които дългосрочното обезвреждане на отпадъци може да причини вреда на околната среда.</w:t>
      </w:r>
    </w:p>
    <w:p w:rsidR="007E360C" w:rsidRPr="00496FD7" w:rsidRDefault="007E360C" w:rsidP="007E360C">
      <w:pPr>
        <w:spacing w:after="120"/>
        <w:rPr>
          <w:szCs w:val="24"/>
        </w:rPr>
      </w:pPr>
    </w:p>
    <w:p w:rsidR="007E360C" w:rsidRPr="00496FD7" w:rsidRDefault="007E360C" w:rsidP="007E360C">
      <w:pPr>
        <w:spacing w:after="120"/>
        <w:rPr>
          <w:szCs w:val="24"/>
        </w:rPr>
      </w:pPr>
      <w:r w:rsidRPr="00496FD7">
        <w:rPr>
          <w:szCs w:val="24"/>
        </w:rPr>
        <w:t xml:space="preserve">Управляващият орган може да нанесе корекции както в/във проекта/ финансовия план във връзка с установени в процеса на оценката недопустими разходи и/или на кандидата се предоставят указания и срок за отстраняване на установените нередовности, непълноти и/или несъответствия. </w:t>
      </w:r>
    </w:p>
    <w:p w:rsidR="007E360C" w:rsidRPr="00496FD7" w:rsidRDefault="007E360C" w:rsidP="007E360C">
      <w:pPr>
        <w:shd w:val="clear" w:color="auto" w:fill="FFFFFF"/>
        <w:ind w:firstLine="709"/>
        <w:rPr>
          <w:szCs w:val="24"/>
          <w:lang w:eastAsia="bg-BG"/>
        </w:rPr>
      </w:pPr>
    </w:p>
    <w:p w:rsidR="007E360C" w:rsidRPr="00496FD7" w:rsidRDefault="007E360C" w:rsidP="007E360C">
      <w:pPr>
        <w:pStyle w:val="Style2"/>
        <w:tabs>
          <w:tab w:val="left" w:pos="993"/>
        </w:tabs>
        <w:ind w:left="426" w:hanging="66"/>
        <w:rPr>
          <w:lang w:val="bg-BG"/>
        </w:rPr>
      </w:pPr>
      <w:bookmarkStart w:id="26" w:name="_Toc264368335"/>
      <w:bookmarkStart w:id="27" w:name="_Toc479775610"/>
      <w:bookmarkStart w:id="28" w:name="_Toc140150197"/>
      <w:bookmarkStart w:id="29" w:name="_Toc152769879"/>
      <w:r w:rsidRPr="00496FD7">
        <w:rPr>
          <w:lang w:val="bg-BG"/>
        </w:rPr>
        <w:t xml:space="preserve">Правила за изменение на </w:t>
      </w:r>
      <w:bookmarkEnd w:id="26"/>
      <w:r w:rsidRPr="00496FD7">
        <w:rPr>
          <w:lang w:val="bg-BG"/>
        </w:rPr>
        <w:t>ПТС 2021-2027 г.</w:t>
      </w:r>
      <w:bookmarkEnd w:id="27"/>
      <w:bookmarkEnd w:id="28"/>
      <w:bookmarkEnd w:id="29"/>
    </w:p>
    <w:p w:rsidR="007E360C" w:rsidRPr="00496FD7" w:rsidRDefault="007E360C" w:rsidP="007E360C">
      <w:pPr>
        <w:spacing w:after="60"/>
        <w:ind w:firstLine="0"/>
        <w:jc w:val="center"/>
        <w:rPr>
          <w:color w:val="000000"/>
          <w:szCs w:val="24"/>
        </w:rPr>
      </w:pPr>
      <w:r w:rsidRPr="00496FD7">
        <w:rPr>
          <w:noProof/>
          <w:color w:val="000000"/>
          <w:szCs w:val="24"/>
          <w:lang w:val="en-US" w:eastAsia="en-US"/>
        </w:rPr>
        <w:drawing>
          <wp:inline distT="0" distB="0" distL="0" distR="0" wp14:anchorId="7E0D5AF7" wp14:editId="6167B136">
            <wp:extent cx="5200650" cy="3276600"/>
            <wp:effectExtent l="0" t="38100" r="0" b="57150"/>
            <wp:docPr id="6" name="Picture 5"/>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7E360C" w:rsidRPr="00496FD7" w:rsidRDefault="007E360C" w:rsidP="007E360C">
      <w:pPr>
        <w:spacing w:after="60"/>
        <w:rPr>
          <w:color w:val="000000"/>
          <w:szCs w:val="24"/>
        </w:rPr>
      </w:pPr>
    </w:p>
    <w:p w:rsidR="000B28EE" w:rsidRPr="00496FD7" w:rsidRDefault="000B28EE" w:rsidP="000B28EE">
      <w:pPr>
        <w:tabs>
          <w:tab w:val="left" w:pos="1276"/>
        </w:tabs>
        <w:rPr>
          <w:szCs w:val="24"/>
        </w:rPr>
      </w:pPr>
      <w:r w:rsidRPr="00496FD7">
        <w:rPr>
          <w:szCs w:val="24"/>
        </w:rPr>
        <w:t>Държавите членки могат да представят мотивирано искане за изменение на дадена програма заедно с изменената програма, в която се определя очакваното въздействие на изменението върху постигането на целите.</w:t>
      </w:r>
    </w:p>
    <w:p w:rsidR="000B28EE" w:rsidRPr="00496FD7" w:rsidRDefault="000B28EE" w:rsidP="000B28EE">
      <w:pPr>
        <w:tabs>
          <w:tab w:val="left" w:pos="1276"/>
        </w:tabs>
        <w:rPr>
          <w:szCs w:val="24"/>
        </w:rPr>
      </w:pPr>
      <w:r w:rsidRPr="00496FD7">
        <w:rPr>
          <w:szCs w:val="24"/>
        </w:rPr>
        <w:t>2.   Комисията разглежда изменението и на неговото съответствие с настоящия регламент и регламентите за отделните фондове, включително с изискванията на национално равнище, и може да направи коментари в срок от 2 месеца от представянето на изменената програма.</w:t>
      </w:r>
    </w:p>
    <w:p w:rsidR="000B28EE" w:rsidRPr="00496FD7" w:rsidRDefault="000B28EE" w:rsidP="000B28EE">
      <w:pPr>
        <w:tabs>
          <w:tab w:val="left" w:pos="1276"/>
        </w:tabs>
        <w:rPr>
          <w:szCs w:val="24"/>
        </w:rPr>
      </w:pPr>
      <w:r w:rsidRPr="00496FD7">
        <w:rPr>
          <w:szCs w:val="24"/>
        </w:rPr>
        <w:t>3.   Държавите членки правят преглед на изменената програма, като вземат под внимание коментарите на Комисията.</w:t>
      </w:r>
    </w:p>
    <w:p w:rsidR="000B28EE" w:rsidRPr="00496FD7" w:rsidRDefault="000B28EE" w:rsidP="000B28EE">
      <w:pPr>
        <w:tabs>
          <w:tab w:val="left" w:pos="1276"/>
        </w:tabs>
        <w:rPr>
          <w:szCs w:val="24"/>
        </w:rPr>
      </w:pPr>
      <w:r w:rsidRPr="00496FD7">
        <w:rPr>
          <w:szCs w:val="24"/>
        </w:rPr>
        <w:lastRenderedPageBreak/>
        <w:t>4.   Комисията приема решение, с което одобрява изменението на програмата до 4 месеца след представянето му от държавата членка.</w:t>
      </w:r>
    </w:p>
    <w:p w:rsidR="000B28EE" w:rsidRPr="00496FD7" w:rsidRDefault="000B28EE" w:rsidP="000B28EE">
      <w:pPr>
        <w:tabs>
          <w:tab w:val="left" w:pos="1276"/>
        </w:tabs>
        <w:rPr>
          <w:szCs w:val="24"/>
        </w:rPr>
      </w:pPr>
      <w:r w:rsidRPr="00496FD7">
        <w:rPr>
          <w:szCs w:val="24"/>
        </w:rPr>
        <w:t>5.   За програми, получаващи подкрепа от ЕФРР, ЕСФ+, Кохезионния фонд и ФСП, държавите членки могат да прехвърлят по време на програмния период сума в размер на максимум 8 % от първоначално разпределените средства за даден приоритет и не повече от 4 % от бюджета на програмата към друг приоритет на същия фонд и на същата програма. За програми, получаващи подкрепа от ЕФРР, ЕСФ+ и ФСП, прехвърлянето може да се отнася само до разпределени средства за същата категория региони.</w:t>
      </w:r>
    </w:p>
    <w:p w:rsidR="000B28EE" w:rsidRPr="00496FD7" w:rsidRDefault="000B28EE" w:rsidP="000B28EE">
      <w:pPr>
        <w:tabs>
          <w:tab w:val="left" w:pos="1276"/>
        </w:tabs>
        <w:rPr>
          <w:szCs w:val="24"/>
        </w:rPr>
      </w:pPr>
      <w:r w:rsidRPr="00496FD7">
        <w:rPr>
          <w:szCs w:val="24"/>
        </w:rPr>
        <w:t>За програми, получаващи подкрепа от ЕФМДРА, държавите членки могат да прехвърлят по време на програмния период сума в размер на максимум 8 % от първоначално разпределените средства за дадена специфична цел към друга специфична цел, включително техническата помощ, изпълнявана в съответствие с член 36, параграф 4.</w:t>
      </w:r>
    </w:p>
    <w:p w:rsidR="000B28EE" w:rsidRPr="00496FD7" w:rsidRDefault="000B28EE" w:rsidP="000B28EE">
      <w:pPr>
        <w:tabs>
          <w:tab w:val="left" w:pos="1276"/>
        </w:tabs>
        <w:rPr>
          <w:szCs w:val="24"/>
        </w:rPr>
      </w:pPr>
    </w:p>
    <w:p w:rsidR="000B28EE" w:rsidRPr="00496FD7" w:rsidRDefault="000B28EE" w:rsidP="000B28EE">
      <w:pPr>
        <w:tabs>
          <w:tab w:val="left" w:pos="1276"/>
        </w:tabs>
        <w:rPr>
          <w:szCs w:val="24"/>
        </w:rPr>
      </w:pPr>
      <w:r w:rsidRPr="00496FD7">
        <w:rPr>
          <w:szCs w:val="24"/>
        </w:rPr>
        <w:t>За програми, получаващи подкрепа от ФУМИ, ФВС и ИУГВП, държавите членки могат да прехвърлят по време на програмния период разпределени средства между действията в рамките на един и същ приоритет и, в допълнение, сума в размер на максимум 15 % от първоначално разпределените средства за даден приоритет към друг приоритет на същия фонд.</w:t>
      </w:r>
    </w:p>
    <w:p w:rsidR="000B28EE" w:rsidRPr="00496FD7" w:rsidRDefault="000B28EE" w:rsidP="000B28EE">
      <w:pPr>
        <w:tabs>
          <w:tab w:val="left" w:pos="1276"/>
        </w:tabs>
        <w:rPr>
          <w:szCs w:val="24"/>
        </w:rPr>
      </w:pPr>
    </w:p>
    <w:p w:rsidR="000B28EE" w:rsidRPr="00496FD7" w:rsidRDefault="000B28EE" w:rsidP="000B28EE">
      <w:pPr>
        <w:tabs>
          <w:tab w:val="left" w:pos="1276"/>
        </w:tabs>
        <w:rPr>
          <w:szCs w:val="24"/>
        </w:rPr>
      </w:pPr>
      <w:r w:rsidRPr="00496FD7">
        <w:rPr>
          <w:szCs w:val="24"/>
        </w:rPr>
        <w:t>Такива прехвърляния не засягат предходни години. Прехвърлянията и свързаните с тях промени се считат за несъществени и за тях не се изисква решение на Комисията за одобряване на изменението на програмата. Те обаче трябва да отговарят на всички регулаторни изисквания и се одобряват предварително от мониторинговия комитет съгласно член 40, параграф 2, буква г). Държавите членки представят на Комисията изменената таблица, посочена в член 22, параграф 3, буква ж), точка ii), iii) или iv)</w:t>
      </w:r>
      <w:r w:rsidR="00C8179F" w:rsidRPr="00496FD7">
        <w:rPr>
          <w:szCs w:val="24"/>
        </w:rPr>
        <w:t xml:space="preserve"> от Регламент 2021/1060</w:t>
      </w:r>
      <w:r w:rsidRPr="00496FD7">
        <w:rPr>
          <w:szCs w:val="24"/>
        </w:rPr>
        <w:t>, според случая, заедно с всички свързани промени в програмата.</w:t>
      </w:r>
    </w:p>
    <w:p w:rsidR="000B28EE" w:rsidRPr="00496FD7" w:rsidRDefault="000B28EE" w:rsidP="000B28EE">
      <w:pPr>
        <w:tabs>
          <w:tab w:val="left" w:pos="1276"/>
        </w:tabs>
        <w:rPr>
          <w:szCs w:val="24"/>
        </w:rPr>
      </w:pPr>
    </w:p>
    <w:p w:rsidR="000B28EE" w:rsidRPr="00496FD7" w:rsidRDefault="000B28EE" w:rsidP="000B28EE">
      <w:pPr>
        <w:tabs>
          <w:tab w:val="left" w:pos="1276"/>
        </w:tabs>
        <w:rPr>
          <w:szCs w:val="24"/>
        </w:rPr>
      </w:pPr>
      <w:r w:rsidRPr="00496FD7">
        <w:rPr>
          <w:szCs w:val="24"/>
        </w:rPr>
        <w:t>6.   За корекция на грешки от чисто техническо или редакционно естество, които не засягат изпълнението на програмата, не се изисква одобрението на Комисията. Държавите членки уведомяват Комисията за такива корекции.</w:t>
      </w:r>
    </w:p>
    <w:p w:rsidR="000B28EE" w:rsidRPr="00496FD7" w:rsidRDefault="000B28EE" w:rsidP="000B28EE">
      <w:pPr>
        <w:tabs>
          <w:tab w:val="left" w:pos="1276"/>
        </w:tabs>
        <w:rPr>
          <w:szCs w:val="24"/>
        </w:rPr>
      </w:pPr>
      <w:r w:rsidRPr="00496FD7">
        <w:rPr>
          <w:szCs w:val="24"/>
        </w:rPr>
        <w:t>7.   За изменения на програмите, получаващи подкрепа от ЕФМДРА, свързани с въвеждането на показатели, не се изисква одобрението на Комисията.</w:t>
      </w:r>
    </w:p>
    <w:p w:rsidR="000B28EE" w:rsidRPr="00496FD7" w:rsidRDefault="000B28EE" w:rsidP="000B28EE">
      <w:pPr>
        <w:tabs>
          <w:tab w:val="left" w:pos="1276"/>
        </w:tabs>
        <w:rPr>
          <w:szCs w:val="24"/>
        </w:rPr>
      </w:pPr>
    </w:p>
    <w:p w:rsidR="000B28EE" w:rsidRPr="00496FD7" w:rsidRDefault="000B28EE" w:rsidP="000B28EE">
      <w:pPr>
        <w:tabs>
          <w:tab w:val="left" w:pos="1276"/>
        </w:tabs>
        <w:rPr>
          <w:szCs w:val="24"/>
        </w:rPr>
      </w:pPr>
      <w:r w:rsidRPr="00496FD7">
        <w:rPr>
          <w:szCs w:val="24"/>
        </w:rPr>
        <w:t>8.   За програмите, подпомагани от ЕФРР, ЕСФ+ или Кохезионния фонд, държавата членка може да представи изменение на програмата в съответствие с настоящия член, като поиска мерките, допринасящи за постигането на целите, посочени в член 21в, параграф 3 от Регламент (ЕС) 2021/241, да бъдат включени в програма, когато тази подкрепа допринася за специфичните цели на съответния фонд, определени в регламентите за отделните фондове. Сумите, поискани за такива мерки, се програмират по специфична цел в съответствие с регламентите за отделните фондове и се включват в даден приоритет. Тези суми като цяло не надвишават ограничението от 7,5 % от първоначално разпределените за всяка държава средства за всеки фонд.</w:t>
      </w:r>
    </w:p>
    <w:p w:rsidR="007E360C" w:rsidRPr="00496FD7" w:rsidRDefault="007E360C" w:rsidP="000B28EE">
      <w:pPr>
        <w:tabs>
          <w:tab w:val="left" w:pos="1276"/>
        </w:tabs>
      </w:pPr>
    </w:p>
    <w:p w:rsidR="007E360C" w:rsidRPr="00496FD7" w:rsidRDefault="007E360C" w:rsidP="007E360C">
      <w:pPr>
        <w:pStyle w:val="Style1"/>
      </w:pPr>
      <w:bookmarkStart w:id="30" w:name="_Toc479775619"/>
      <w:bookmarkStart w:id="31" w:name="_Toc140150199"/>
      <w:bookmarkStart w:id="32" w:name="_Toc152769880"/>
      <w:r w:rsidRPr="00496FD7">
        <w:t>ИНДИКАТИВНА ГОДИШНА РАБОТНА ПРОГРАМА НА ПТС 2021-2027 Г.</w:t>
      </w:r>
      <w:bookmarkEnd w:id="30"/>
      <w:bookmarkEnd w:id="31"/>
      <w:bookmarkEnd w:id="32"/>
    </w:p>
    <w:p w:rsidR="007E360C" w:rsidRPr="00496FD7" w:rsidRDefault="007E360C" w:rsidP="007E360C">
      <w:pPr>
        <w:rPr>
          <w:lang w:eastAsia="bg-BG"/>
        </w:rPr>
      </w:pPr>
      <w:r w:rsidRPr="00496FD7">
        <w:rPr>
          <w:lang w:eastAsia="bg-BG"/>
        </w:rPr>
        <w:t xml:space="preserve">Настоящата процедура е изготвена в съответствие с изискванията в чл. 26, ал. 1 от ПМС № 23/2023 г. УО на ПТС за изготвяне на ИГРП и публикуването на одобрената ИГРП на </w:t>
      </w:r>
      <w:r w:rsidRPr="00496FD7">
        <w:rPr>
          <w:lang w:eastAsia="bg-BG"/>
        </w:rPr>
        <w:lastRenderedPageBreak/>
        <w:t xml:space="preserve">интернет страницата на ПТС </w:t>
      </w:r>
      <w:hyperlink r:id="rId14" w:history="1">
        <w:r w:rsidRPr="00496FD7">
          <w:rPr>
            <w:color w:val="0000FF"/>
            <w:u w:val="single"/>
            <w:lang w:eastAsia="bg-BG"/>
          </w:rPr>
          <w:t>www.eufunds.bg/optti</w:t>
        </w:r>
      </w:hyperlink>
      <w:r w:rsidRPr="00496FD7">
        <w:rPr>
          <w:color w:val="0000FF"/>
          <w:u w:val="single"/>
          <w:lang w:eastAsia="bg-BG"/>
        </w:rPr>
        <w:t xml:space="preserve"> </w:t>
      </w:r>
      <w:r w:rsidRPr="00496FD7">
        <w:rPr>
          <w:lang w:eastAsia="bg-BG"/>
        </w:rPr>
        <w:t>и на ЕИП за следваща календарна година.  Функцията по изготвяне на ИГРП е вменена на отдел „Програмиране” в УО на ПТС. Началникът на отдел „Програмиране”, отговаря за координацията при изготвянето на ИГРП от експерт/и в отдела. Процедурите по ПТС по приоритети 1, 2, 4 и 5 са открити на 19.06.2023 г. за пълния бюджет в оста, а процедура № BG16FFPR001-3.001 - „Подобряване на интермодалността, иновации, модернизирани системи за управление на трафика, подобряване на сигурността и безопасността на транспорта“ на 31.08.2023 г. В ИГРП за всяка следващата година се указва свободния финансов ресурс за конкретната процедура, при отчитане на договорените към момента на изготвянето на проекта на ИГРП средства.</w:t>
      </w:r>
    </w:p>
    <w:p w:rsidR="007E360C" w:rsidRPr="00496FD7" w:rsidRDefault="007E360C" w:rsidP="007E360C">
      <w:pPr>
        <w:rPr>
          <w:lang w:eastAsia="bg-BG"/>
        </w:rPr>
      </w:pPr>
      <w:r w:rsidRPr="00496FD7">
        <w:rPr>
          <w:lang w:eastAsia="bg-BG"/>
        </w:rPr>
        <w:t xml:space="preserve">Предстои откриване на процедури по Приоритет 3 за подпомагане на интермодални оператори и за </w:t>
      </w:r>
      <w:r w:rsidRPr="00496FD7">
        <w:rPr>
          <w:bCs/>
          <w:noProof/>
        </w:rPr>
        <w:t>изграждане на зарядни станции.</w:t>
      </w:r>
    </w:p>
    <w:p w:rsidR="007E360C" w:rsidRPr="00496FD7" w:rsidRDefault="007E360C" w:rsidP="007E360C">
      <w:pPr>
        <w:rPr>
          <w:lang w:eastAsia="bg-BG"/>
        </w:rPr>
      </w:pPr>
    </w:p>
    <w:p w:rsidR="007E360C" w:rsidRPr="00496FD7" w:rsidRDefault="007E360C" w:rsidP="007E360C">
      <w:pPr>
        <w:pStyle w:val="Style2"/>
        <w:rPr>
          <w:lang w:val="bg-BG" w:eastAsia="bg-BG"/>
        </w:rPr>
      </w:pPr>
      <w:bookmarkStart w:id="33" w:name="_Toc464561637"/>
      <w:bookmarkStart w:id="34" w:name="_Toc464573349"/>
      <w:bookmarkStart w:id="35" w:name="_Toc464573802"/>
      <w:bookmarkStart w:id="36" w:name="_Ref413228773"/>
      <w:bookmarkStart w:id="37" w:name="_Toc479775620"/>
      <w:bookmarkStart w:id="38" w:name="_Toc140150200"/>
      <w:bookmarkStart w:id="39" w:name="_Toc152769881"/>
      <w:bookmarkEnd w:id="33"/>
      <w:bookmarkEnd w:id="34"/>
      <w:bookmarkEnd w:id="35"/>
      <w:r w:rsidRPr="00496FD7">
        <w:rPr>
          <w:lang w:val="bg-BG" w:eastAsia="bg-BG"/>
        </w:rPr>
        <w:t>Процедура за изготвяне на Индикативната годишна програма</w:t>
      </w:r>
      <w:bookmarkEnd w:id="36"/>
      <w:bookmarkEnd w:id="37"/>
      <w:bookmarkEnd w:id="38"/>
      <w:bookmarkEnd w:id="39"/>
    </w:p>
    <w:p w:rsidR="007E360C" w:rsidRPr="00496FD7" w:rsidRDefault="007E360C" w:rsidP="00E80472">
      <w:pPr>
        <w:pStyle w:val="ListParagraph"/>
        <w:numPr>
          <w:ilvl w:val="0"/>
          <w:numId w:val="89"/>
        </w:numPr>
        <w:tabs>
          <w:tab w:val="left" w:pos="1276"/>
        </w:tabs>
        <w:ind w:left="0" w:firstLine="851"/>
      </w:pPr>
      <w:bookmarkStart w:id="40" w:name="_Ref398563070"/>
      <w:r w:rsidRPr="00496FD7">
        <w:t>По резолюция (устна или писмена) на началника на отдел „Програмиране“ в дирекция КПП, служител от отдела изготвя проект на ИГРП, като използва образеца по чл. 26, ал. 2 на ПМС № 23/2023, утвърден от министъра на финансите, съдържащ най-малко информацията по чл. 49, параграф 2 от Регламент (ЕС) 2021/1060 на Европейския парламент и на Съвета от 24 юни 2021 г. за установяване на общо</w:t>
      </w:r>
      <w:r w:rsidR="0022101A">
        <w:t xml:space="preserve"> </w:t>
      </w:r>
      <w:r w:rsidRPr="00496FD7">
        <w:t xml:space="preserve">приложимите разпоредби за Европейския фонд за регионално развитие, Европейския социален фонд плюс, Кохезионния фонд. ИГРП включва процедурите на директно предоставяне </w:t>
      </w:r>
      <w:r w:rsidR="0022101A">
        <w:t xml:space="preserve">и процедурите на подбор </w:t>
      </w:r>
      <w:r w:rsidRPr="00496FD7">
        <w:t>по приоритети, предвидени за подаване за всяка следващата календарна година за програмния период.</w:t>
      </w:r>
    </w:p>
    <w:p w:rsidR="007E360C" w:rsidRPr="00496FD7" w:rsidRDefault="007E360C" w:rsidP="00E80472">
      <w:pPr>
        <w:pStyle w:val="ListParagraph"/>
        <w:numPr>
          <w:ilvl w:val="0"/>
          <w:numId w:val="89"/>
        </w:numPr>
        <w:tabs>
          <w:tab w:val="left" w:pos="1276"/>
        </w:tabs>
        <w:ind w:left="0" w:firstLine="851"/>
      </w:pPr>
      <w:r w:rsidRPr="00496FD7">
        <w:t>При изготвянето на проекта на ИГРП за всяка година се отчита, че процедурите на</w:t>
      </w:r>
      <w:r w:rsidR="00C70469">
        <w:t xml:space="preserve"> директно предоставяне по ПТС са</w:t>
      </w:r>
      <w:r w:rsidRPr="00496FD7">
        <w:t xml:space="preserve"> откри</w:t>
      </w:r>
      <w:r w:rsidR="00C70469">
        <w:t>ти</w:t>
      </w:r>
      <w:r w:rsidRPr="00496FD7">
        <w:t xml:space="preserve"> за общия бюджет на програмата (за </w:t>
      </w:r>
      <w:r w:rsidR="00C70469" w:rsidRPr="00496FD7">
        <w:t>приоритети</w:t>
      </w:r>
      <w:r w:rsidRPr="00496FD7">
        <w:t xml:space="preserve"> 1, 2, 4 и 5 - 16.08.2023 г., а за процедура </w:t>
      </w:r>
      <w:r w:rsidRPr="00496FD7">
        <w:rPr>
          <w:lang w:eastAsia="bg-BG"/>
        </w:rPr>
        <w:t xml:space="preserve">BG16FFPR001-3.001 по </w:t>
      </w:r>
      <w:r w:rsidRPr="00496FD7">
        <w:t>приоритет 3 - 31.08.2023 г.) и за всяка следваща година в ИГРП се актуализира бюджета по процедурите, на база свободния (недоговориран) финансов ресурс по откритите процедури.</w:t>
      </w:r>
    </w:p>
    <w:p w:rsidR="007E360C" w:rsidRPr="00496FD7" w:rsidRDefault="007E360C" w:rsidP="00E80472">
      <w:pPr>
        <w:pStyle w:val="ListParagraph"/>
        <w:numPr>
          <w:ilvl w:val="0"/>
          <w:numId w:val="89"/>
        </w:numPr>
        <w:tabs>
          <w:tab w:val="left" w:pos="1276"/>
        </w:tabs>
        <w:ind w:left="0" w:firstLine="851"/>
      </w:pPr>
      <w:r w:rsidRPr="00496FD7">
        <w:t>При необходимост в допълнение към т. 2) се набира информация от бенефициентите по ПТС за напредъка по подготовката на проектите, предвидени за финансиране от ПТС. В тази връзка, по предложение на началника на отдела, съгласувано с директора на дирекция КПП, Ръководителят /Заместник-ръководителят на УО на ПТС изпраща официално искане към конкретните бенефициенти за предоставяне в УО на актуални справки за напредъка по подготовката на проектите, предвидени за финансиране от ПТС, както и показатели за напредъка на изпълнението. Набирането на информация може да бъде изискано от Бенефициентите и по официалната електронна поща.</w:t>
      </w:r>
    </w:p>
    <w:p w:rsidR="007E360C" w:rsidRPr="00496FD7" w:rsidRDefault="007E360C" w:rsidP="007E360C">
      <w:pPr>
        <w:rPr>
          <w:lang w:eastAsia="bg-BG"/>
        </w:rPr>
      </w:pPr>
      <w:r w:rsidRPr="00496FD7">
        <w:rPr>
          <w:lang w:eastAsia="bg-BG"/>
        </w:rPr>
        <w:t xml:space="preserve">В случай, че УО на ПТС разполага с конкретната информацията, събирана по повод различен от подготовката на ИГРП, след анализ тя може да бъде използвана за целите на изготвяне на ИГРП.  </w:t>
      </w:r>
    </w:p>
    <w:p w:rsidR="007E360C" w:rsidRPr="00496FD7" w:rsidRDefault="007E360C" w:rsidP="007E360C">
      <w:pPr>
        <w:rPr>
          <w:lang w:eastAsia="bg-BG"/>
        </w:rPr>
      </w:pPr>
    </w:p>
    <w:p w:rsidR="007E360C" w:rsidRPr="00496FD7" w:rsidRDefault="007E360C" w:rsidP="007E360C">
      <w:pPr>
        <w:rPr>
          <w:lang w:eastAsia="bg-BG"/>
        </w:rPr>
      </w:pPr>
      <w:r w:rsidRPr="00496FD7">
        <w:rPr>
          <w:lang w:eastAsia="bg-BG"/>
        </w:rPr>
        <w:t xml:space="preserve">Справките могат да бъдат и периодични (например всеки месец) и/или непланирани (когато е необходимо). </w:t>
      </w:r>
    </w:p>
    <w:p w:rsidR="007E360C" w:rsidRPr="00496FD7" w:rsidRDefault="007E360C" w:rsidP="00E80472">
      <w:pPr>
        <w:pStyle w:val="ListParagraph"/>
        <w:numPr>
          <w:ilvl w:val="0"/>
          <w:numId w:val="89"/>
        </w:numPr>
        <w:tabs>
          <w:tab w:val="left" w:pos="1276"/>
        </w:tabs>
        <w:ind w:left="0" w:firstLine="851"/>
      </w:pPr>
      <w:r w:rsidRPr="00496FD7">
        <w:t xml:space="preserve">След получаване на справките от страна на бенефициентите, експерт/и в отдел „Програмиране”, дирекция КПП анализират и обобщават получената информация, планират дейностите и изготвят проект на ИГРП. Анализът включва и съответствие с финансовите параметри и описанието на допустимите дейности по одобрената ПТС. </w:t>
      </w:r>
      <w:r w:rsidRPr="00496FD7">
        <w:tab/>
      </w:r>
    </w:p>
    <w:p w:rsidR="007E360C" w:rsidRPr="00496FD7" w:rsidRDefault="007E360C" w:rsidP="00E80472">
      <w:pPr>
        <w:pStyle w:val="ListParagraph"/>
        <w:numPr>
          <w:ilvl w:val="0"/>
          <w:numId w:val="89"/>
        </w:numPr>
        <w:tabs>
          <w:tab w:val="left" w:pos="1276"/>
        </w:tabs>
        <w:ind w:left="0" w:firstLine="851"/>
      </w:pPr>
      <w:r w:rsidRPr="00496FD7">
        <w:lastRenderedPageBreak/>
        <w:t>Отговорен/ни експерт/и от отдел „Програмиране“ извършва/т пър</w:t>
      </w:r>
      <w:r w:rsidR="00EA6008" w:rsidRPr="00496FD7">
        <w:t>ва проверка на проектът на ИГРП</w:t>
      </w:r>
      <w:r w:rsidRPr="00496FD7">
        <w:t>) в системата ИСУН 2020;</w:t>
      </w:r>
    </w:p>
    <w:p w:rsidR="007E360C" w:rsidRPr="00496FD7" w:rsidRDefault="00EA6008" w:rsidP="00E80472">
      <w:pPr>
        <w:pStyle w:val="ListParagraph"/>
        <w:numPr>
          <w:ilvl w:val="0"/>
          <w:numId w:val="89"/>
        </w:numPr>
        <w:tabs>
          <w:tab w:val="left" w:pos="1276"/>
        </w:tabs>
        <w:ind w:left="0" w:firstLine="851"/>
      </w:pPr>
      <w:r w:rsidRPr="00496FD7">
        <w:t>ИГРП се подлага на съгласуване</w:t>
      </w:r>
      <w:r w:rsidR="007E360C" w:rsidRPr="00496FD7">
        <w:t>, като всеки съгласуващ след като извърши проверките може да постъпи по следния начин:</w:t>
      </w:r>
    </w:p>
    <w:p w:rsidR="007E360C" w:rsidRPr="00496FD7" w:rsidRDefault="007E360C" w:rsidP="00E80472">
      <w:pPr>
        <w:pStyle w:val="ListParagraph"/>
        <w:numPr>
          <w:ilvl w:val="0"/>
          <w:numId w:val="90"/>
        </w:numPr>
        <w:rPr>
          <w:lang w:eastAsia="bg-BG"/>
        </w:rPr>
      </w:pPr>
      <w:r w:rsidRPr="00496FD7">
        <w:rPr>
          <w:lang w:eastAsia="bg-BG"/>
        </w:rPr>
        <w:t>да съгласува ИГРП или</w:t>
      </w:r>
    </w:p>
    <w:p w:rsidR="007E360C" w:rsidRPr="00496FD7" w:rsidRDefault="007E360C" w:rsidP="00E80472">
      <w:pPr>
        <w:pStyle w:val="ListParagraph"/>
        <w:numPr>
          <w:ilvl w:val="0"/>
          <w:numId w:val="90"/>
        </w:numPr>
        <w:rPr>
          <w:lang w:eastAsia="bg-BG"/>
        </w:rPr>
      </w:pPr>
      <w:r w:rsidRPr="00496FD7">
        <w:rPr>
          <w:lang w:eastAsia="bg-BG"/>
        </w:rPr>
        <w:t>да върне обратно ИГРП, с указания за корекция от страна на експерта/ите в отдел „Програмиране”.</w:t>
      </w:r>
    </w:p>
    <w:p w:rsidR="007E360C" w:rsidRPr="00496FD7" w:rsidRDefault="007E360C" w:rsidP="00E80472">
      <w:pPr>
        <w:pStyle w:val="ListParagraph"/>
        <w:numPr>
          <w:ilvl w:val="0"/>
          <w:numId w:val="89"/>
        </w:numPr>
        <w:tabs>
          <w:tab w:val="left" w:pos="1276"/>
        </w:tabs>
        <w:ind w:left="0" w:firstLine="851"/>
      </w:pPr>
      <w:r w:rsidRPr="00496FD7">
        <w:t xml:space="preserve">Съгласуването на ИГРП се извършва в следния порядък: </w:t>
      </w:r>
    </w:p>
    <w:p w:rsidR="007E360C" w:rsidRPr="00496FD7" w:rsidRDefault="007E360C" w:rsidP="00E80472">
      <w:pPr>
        <w:pStyle w:val="ListParagraph"/>
        <w:numPr>
          <w:ilvl w:val="0"/>
          <w:numId w:val="90"/>
        </w:numPr>
        <w:rPr>
          <w:lang w:eastAsia="bg-BG"/>
        </w:rPr>
      </w:pPr>
      <w:r w:rsidRPr="00496FD7">
        <w:rPr>
          <w:lang w:eastAsia="bg-BG"/>
        </w:rPr>
        <w:t>началника на отдел „Програмиране”, дирекция КПП;</w:t>
      </w:r>
    </w:p>
    <w:p w:rsidR="007E360C" w:rsidRPr="00496FD7" w:rsidRDefault="007E360C" w:rsidP="00E80472">
      <w:pPr>
        <w:pStyle w:val="ListParagraph"/>
        <w:numPr>
          <w:ilvl w:val="0"/>
          <w:numId w:val="90"/>
        </w:numPr>
        <w:rPr>
          <w:lang w:eastAsia="bg-BG"/>
        </w:rPr>
      </w:pPr>
      <w:r w:rsidRPr="00496FD7">
        <w:rPr>
          <w:lang w:eastAsia="bg-BG"/>
        </w:rPr>
        <w:t xml:space="preserve">директора на дирекция КПП </w:t>
      </w:r>
      <w:r w:rsidRPr="00496FD7">
        <w:rPr>
          <w:i/>
          <w:lang w:eastAsia="bg-BG"/>
        </w:rPr>
        <w:t>(не е приложимо, когато директорът е и ръководител на УО</w:t>
      </w:r>
      <w:r w:rsidRPr="00496FD7">
        <w:rPr>
          <w:lang w:eastAsia="bg-BG"/>
        </w:rPr>
        <w:t>).</w:t>
      </w:r>
    </w:p>
    <w:p w:rsidR="007E360C" w:rsidRPr="00496FD7" w:rsidRDefault="007E360C" w:rsidP="00E80472">
      <w:pPr>
        <w:pStyle w:val="ListParagraph"/>
        <w:numPr>
          <w:ilvl w:val="0"/>
          <w:numId w:val="89"/>
        </w:numPr>
        <w:tabs>
          <w:tab w:val="left" w:pos="1276"/>
        </w:tabs>
        <w:ind w:left="0" w:firstLine="851"/>
      </w:pPr>
      <w:r w:rsidRPr="00496FD7">
        <w:t>След одобрение на ИГРП от страна на директора на дирекция КПП, началникът на отдел „Информация, публичност и техническа помощ”, следва да организира публикуването на одобрения проект на ИГРП за коментари на интернет страницата на ПТС (</w:t>
      </w:r>
      <w:hyperlink r:id="rId15" w:history="1">
        <w:r w:rsidRPr="00496FD7">
          <w:rPr>
            <w:rStyle w:val="Hyperlink"/>
          </w:rPr>
          <w:t>www.</w:t>
        </w:r>
        <w:r w:rsidRPr="00496FD7">
          <w:rPr>
            <w:rStyle w:val="Hyperlink"/>
            <w:lang w:val="en-US"/>
          </w:rPr>
          <w:t>eufunds</w:t>
        </w:r>
        <w:r w:rsidRPr="00496FD7">
          <w:rPr>
            <w:rStyle w:val="Hyperlink"/>
          </w:rPr>
          <w:t>.bg</w:t>
        </w:r>
      </w:hyperlink>
      <w:r w:rsidRPr="00496FD7">
        <w:t>/</w:t>
      </w:r>
      <w:r w:rsidRPr="00496FD7">
        <w:rPr>
          <w:lang w:val="en-US"/>
        </w:rPr>
        <w:t>optti</w:t>
      </w:r>
      <w:r w:rsidRPr="00496FD7">
        <w:t xml:space="preserve"> ) и на ЕИП.</w:t>
      </w:r>
      <w:r w:rsidRPr="00496FD7">
        <w:tab/>
      </w:r>
    </w:p>
    <w:p w:rsidR="007E360C" w:rsidRPr="00496FD7" w:rsidRDefault="007E360C" w:rsidP="00E80472">
      <w:pPr>
        <w:pStyle w:val="ListParagraph"/>
        <w:numPr>
          <w:ilvl w:val="0"/>
          <w:numId w:val="89"/>
        </w:numPr>
        <w:tabs>
          <w:tab w:val="left" w:pos="1276"/>
        </w:tabs>
        <w:ind w:left="0" w:firstLine="851"/>
      </w:pPr>
      <w:r w:rsidRPr="00496FD7">
        <w:t>Проектът на ИГРП следва да се публикува не по-късно от 1 октомври всяка година със срок за обсъждане 20 дни (чл. 26, ал. 3 от ПМС № 23/2023 г.).</w:t>
      </w:r>
    </w:p>
    <w:p w:rsidR="007E360C" w:rsidRPr="00496FD7" w:rsidRDefault="007E360C" w:rsidP="007E360C">
      <w:pPr>
        <w:rPr>
          <w:lang w:eastAsia="bg-BG"/>
        </w:rPr>
      </w:pPr>
      <w:r w:rsidRPr="00496FD7">
        <w:rPr>
          <w:i/>
          <w:lang w:eastAsia="bg-BG"/>
        </w:rPr>
        <w:t xml:space="preserve">Срок за изпълнение: </w:t>
      </w:r>
      <w:r w:rsidRPr="00496FD7">
        <w:rPr>
          <w:lang w:eastAsia="bg-BG"/>
        </w:rPr>
        <w:t>До 1 октомври всяка година</w:t>
      </w:r>
    </w:p>
    <w:p w:rsidR="007E360C" w:rsidRPr="00496FD7" w:rsidRDefault="007E360C" w:rsidP="007E360C">
      <w:pPr>
        <w:rPr>
          <w:lang w:eastAsia="bg-BG"/>
        </w:rPr>
      </w:pPr>
    </w:p>
    <w:p w:rsidR="007E360C" w:rsidRPr="00496FD7" w:rsidRDefault="007E360C" w:rsidP="00E80472">
      <w:pPr>
        <w:pStyle w:val="ListParagraph"/>
        <w:numPr>
          <w:ilvl w:val="0"/>
          <w:numId w:val="89"/>
        </w:numPr>
        <w:tabs>
          <w:tab w:val="left" w:pos="1276"/>
        </w:tabs>
        <w:ind w:left="0" w:firstLine="851"/>
      </w:pPr>
      <w:r w:rsidRPr="00496FD7">
        <w:t>Постъпилите становища в рамките на предварителното обсъждане по точка 9) се разглеждат и анализират от експерт/и в отдел „Програмиране” и при необходимост след съгласуване с началника на отдела, директора на дирекция КПП и/или Ръководителят на УО на ПТС, ако са добре обосновани и мотивирани се отразяват в ИГРП.</w:t>
      </w:r>
      <w:r w:rsidRPr="00496FD7">
        <w:tab/>
      </w:r>
    </w:p>
    <w:p w:rsidR="007E360C" w:rsidRPr="00496FD7" w:rsidRDefault="007E360C" w:rsidP="00E80472">
      <w:pPr>
        <w:pStyle w:val="ListParagraph"/>
        <w:numPr>
          <w:ilvl w:val="0"/>
          <w:numId w:val="89"/>
        </w:numPr>
        <w:tabs>
          <w:tab w:val="left" w:pos="1276"/>
        </w:tabs>
        <w:ind w:left="0" w:firstLine="851"/>
      </w:pPr>
      <w:r w:rsidRPr="00496FD7">
        <w:t xml:space="preserve">След изтичане на срока по </w:t>
      </w:r>
      <w:r w:rsidRPr="00496FD7">
        <w:rPr>
          <w:b/>
        </w:rPr>
        <w:t>точка 9)</w:t>
      </w:r>
      <w:r w:rsidRPr="00496FD7">
        <w:t xml:space="preserve"> проектът на ИГРП, съгласно чл. 26, ал. 4  на ПМС № 23/2023 г. се представя за разглеждане от СКУСЕС, който разглежда едновременно проектите на  ИГРП на всички програми. За целта началника на отдел „Програмиране” организира изготвянето на официално писмо от Ръководителя на УО на ПТС, с което проектът на ИГРП се представя за съгласуване на СКУСЕС;</w:t>
      </w:r>
      <w:r w:rsidRPr="00496FD7">
        <w:tab/>
      </w:r>
      <w:r w:rsidRPr="00496FD7">
        <w:tab/>
      </w:r>
    </w:p>
    <w:p w:rsidR="007E360C" w:rsidRPr="00496FD7" w:rsidRDefault="007E360C" w:rsidP="00E80472">
      <w:pPr>
        <w:pStyle w:val="ListParagraph"/>
        <w:numPr>
          <w:ilvl w:val="0"/>
          <w:numId w:val="89"/>
        </w:numPr>
        <w:tabs>
          <w:tab w:val="left" w:pos="1276"/>
        </w:tabs>
        <w:ind w:left="0" w:firstLine="851"/>
      </w:pPr>
      <w:r w:rsidRPr="00496FD7">
        <w:t>В съответствие с чл. 26, ал. 5 от ПМС № 23/2023 г. след съгласуване на ИГРП от СКУСЕС, ИГРП се предоставя и за съгласуване от Комитета за наблюдение на ПТС.</w:t>
      </w:r>
    </w:p>
    <w:p w:rsidR="007E360C" w:rsidRPr="00496FD7" w:rsidRDefault="007E360C" w:rsidP="00E80472">
      <w:pPr>
        <w:pStyle w:val="ListParagraph"/>
        <w:numPr>
          <w:ilvl w:val="0"/>
          <w:numId w:val="89"/>
        </w:numPr>
        <w:tabs>
          <w:tab w:val="left" w:pos="1276"/>
        </w:tabs>
        <w:ind w:left="0" w:firstLine="851"/>
      </w:pPr>
      <w:r w:rsidRPr="00496FD7">
        <w:t xml:space="preserve">При получени коментари или бележи от членовете на КН по ИГРП, служител от отдел „Програмиране“, подготвя отговор-становище или подготвя ревизирана ИГРП. В този случай след като ИГРП бъде одобрена от КН,  отговорният експерт в отдел „Програмиране“ изпраща по електронен път финалния вариант на ИГРП на началника на отдел „Информация, публичност и техническа помощ”, който </w:t>
      </w:r>
      <w:r w:rsidRPr="00496FD7">
        <w:rPr>
          <w:rStyle w:val="Hyperlink"/>
          <w:b/>
        </w:rPr>
        <w:t xml:space="preserve">определя отговорен служител от отдела </w:t>
      </w:r>
      <w:r w:rsidRPr="00496FD7">
        <w:t xml:space="preserve">за публикуването на одобрената ИГРП на интернет страницата на ПТС и на ЕИП на ЕС в Република България </w:t>
      </w:r>
      <w:hyperlink r:id="rId16" w:history="1">
        <w:r w:rsidRPr="00496FD7">
          <w:rPr>
            <w:rStyle w:val="Hyperlink"/>
          </w:rPr>
          <w:t>www.eufun</w:t>
        </w:r>
        <w:r w:rsidRPr="00496FD7">
          <w:rPr>
            <w:rStyle w:val="Hyperlink"/>
            <w:lang w:val="en-US"/>
          </w:rPr>
          <w:t>d</w:t>
        </w:r>
        <w:r w:rsidRPr="00496FD7">
          <w:rPr>
            <w:rStyle w:val="Hyperlink"/>
          </w:rPr>
          <w:t>s.bg</w:t>
        </w:r>
      </w:hyperlink>
      <w:r w:rsidRPr="00496FD7">
        <w:rPr>
          <w:rStyle w:val="Hyperlink"/>
        </w:rPr>
        <w:t>/</w:t>
      </w:r>
      <w:r w:rsidRPr="00496FD7">
        <w:rPr>
          <w:rStyle w:val="Hyperlink"/>
          <w:lang w:val="en-US"/>
        </w:rPr>
        <w:t>optti</w:t>
      </w:r>
      <w:r w:rsidRPr="00496FD7">
        <w:t>.</w:t>
      </w:r>
    </w:p>
    <w:p w:rsidR="007E360C" w:rsidRPr="00496FD7" w:rsidRDefault="007E360C" w:rsidP="00E80472">
      <w:pPr>
        <w:pStyle w:val="ListParagraph"/>
        <w:numPr>
          <w:ilvl w:val="0"/>
          <w:numId w:val="89"/>
        </w:numPr>
        <w:tabs>
          <w:tab w:val="left" w:pos="1276"/>
        </w:tabs>
        <w:ind w:left="0" w:firstLine="851"/>
        <w:rPr>
          <w:szCs w:val="24"/>
          <w:lang w:eastAsia="bg-BG"/>
        </w:rPr>
      </w:pPr>
      <w:r w:rsidRPr="00496FD7">
        <w:rPr>
          <w:szCs w:val="24"/>
          <w:lang w:eastAsia="bg-BG"/>
        </w:rPr>
        <w:t>Срок за изпълнение: В срок до 7 работни дни от одобрението на ИГРП, но не по-късно от 30 ноември всяка година.</w:t>
      </w:r>
    </w:p>
    <w:p w:rsidR="007E360C" w:rsidRPr="00496FD7" w:rsidRDefault="007E360C" w:rsidP="007E360C">
      <w:pPr>
        <w:rPr>
          <w:szCs w:val="24"/>
          <w:lang w:eastAsia="bg-BG"/>
        </w:rPr>
      </w:pPr>
    </w:p>
    <w:p w:rsidR="007E360C" w:rsidRPr="00496FD7" w:rsidRDefault="007E360C" w:rsidP="00E80472">
      <w:pPr>
        <w:pStyle w:val="ListParagraph"/>
        <w:numPr>
          <w:ilvl w:val="0"/>
          <w:numId w:val="89"/>
        </w:numPr>
        <w:tabs>
          <w:tab w:val="left" w:pos="1276"/>
        </w:tabs>
        <w:ind w:left="0" w:firstLine="851"/>
      </w:pPr>
      <w:r w:rsidRPr="00496FD7">
        <w:t xml:space="preserve">ИГРП за 2023 г. е </w:t>
      </w:r>
      <w:r w:rsidR="00EA6008" w:rsidRPr="00496FD7">
        <w:t>одобрена</w:t>
      </w:r>
      <w:r w:rsidRPr="00496FD7">
        <w:t xml:space="preserve"> от КН, съгласно Протокол от писмена процедура № 1 от 12.04.2023 г.</w:t>
      </w:r>
    </w:p>
    <w:bookmarkEnd w:id="40"/>
    <w:p w:rsidR="007E360C" w:rsidRPr="00496FD7" w:rsidRDefault="007E360C" w:rsidP="007E360C"/>
    <w:p w:rsidR="007E360C" w:rsidRPr="00496FD7" w:rsidRDefault="007E360C" w:rsidP="007E360C">
      <w:pPr>
        <w:pStyle w:val="Style2"/>
        <w:rPr>
          <w:lang w:val="bg-BG" w:eastAsia="bg-BG"/>
        </w:rPr>
      </w:pPr>
      <w:r w:rsidRPr="00496FD7">
        <w:rPr>
          <w:lang w:val="bg-BG" w:eastAsia="bg-BG"/>
        </w:rPr>
        <w:t xml:space="preserve"> </w:t>
      </w:r>
      <w:bookmarkStart w:id="41" w:name="_Toc479775621"/>
      <w:bookmarkStart w:id="42" w:name="_Toc140150201"/>
      <w:bookmarkStart w:id="43" w:name="_Toc152769882"/>
      <w:r w:rsidRPr="00496FD7">
        <w:rPr>
          <w:lang w:val="bg-BG" w:eastAsia="bg-BG"/>
        </w:rPr>
        <w:t>Процедура за изменение на Индикативната годишна работна програма</w:t>
      </w:r>
      <w:bookmarkEnd w:id="41"/>
      <w:bookmarkEnd w:id="42"/>
      <w:bookmarkEnd w:id="43"/>
    </w:p>
    <w:p w:rsidR="007E360C" w:rsidRPr="00496FD7" w:rsidRDefault="007E360C" w:rsidP="00E80472">
      <w:pPr>
        <w:pStyle w:val="ListParagraph"/>
        <w:numPr>
          <w:ilvl w:val="0"/>
          <w:numId w:val="91"/>
        </w:numPr>
        <w:tabs>
          <w:tab w:val="left" w:pos="1276"/>
        </w:tabs>
        <w:ind w:left="0" w:firstLine="851"/>
      </w:pPr>
      <w:r w:rsidRPr="00496FD7">
        <w:lastRenderedPageBreak/>
        <w:t xml:space="preserve">Изменение на ИГРП по инициатива на УО на ПТС или в резултат на постъпила информация от бенефициентите по ПТС или след изменение на ПТС, се изготвя от експерт/и в отдел „Програмиране”. </w:t>
      </w:r>
    </w:p>
    <w:p w:rsidR="007E360C" w:rsidRPr="00496FD7" w:rsidRDefault="007E360C" w:rsidP="00E80472">
      <w:pPr>
        <w:pStyle w:val="ListParagraph"/>
        <w:numPr>
          <w:ilvl w:val="0"/>
          <w:numId w:val="91"/>
        </w:numPr>
        <w:tabs>
          <w:tab w:val="left" w:pos="1276"/>
        </w:tabs>
        <w:ind w:left="0" w:firstLine="851"/>
      </w:pPr>
      <w:r w:rsidRPr="00496FD7">
        <w:t>Срок за изпълнение: До 11 работни дни от постъпване на информацията от бенефициентите по ПТС.</w:t>
      </w:r>
    </w:p>
    <w:p w:rsidR="007E360C" w:rsidRPr="00496FD7" w:rsidRDefault="007E360C" w:rsidP="00E80472">
      <w:pPr>
        <w:pStyle w:val="ListParagraph"/>
        <w:numPr>
          <w:ilvl w:val="0"/>
          <w:numId w:val="91"/>
        </w:numPr>
        <w:tabs>
          <w:tab w:val="left" w:pos="1276"/>
        </w:tabs>
        <w:ind w:left="0" w:firstLine="851"/>
      </w:pPr>
      <w:r w:rsidRPr="00496FD7">
        <w:t>Изменената ИГРП при спазване на процедурите се съгласува от КН на ПТС при следните обстоятелства:</w:t>
      </w:r>
    </w:p>
    <w:p w:rsidR="007E360C" w:rsidRPr="00496FD7" w:rsidRDefault="007E360C" w:rsidP="007E360C">
      <w:pPr>
        <w:tabs>
          <w:tab w:val="left" w:pos="1276"/>
        </w:tabs>
        <w:ind w:left="1211" w:firstLine="0"/>
      </w:pPr>
      <w:r w:rsidRPr="00496FD7">
        <w:t>1. включване на нова процедура;</w:t>
      </w:r>
    </w:p>
    <w:p w:rsidR="007E360C" w:rsidRPr="00496FD7" w:rsidRDefault="007E360C" w:rsidP="007E360C">
      <w:pPr>
        <w:tabs>
          <w:tab w:val="left" w:pos="1276"/>
        </w:tabs>
        <w:ind w:left="1211" w:firstLine="0"/>
      </w:pPr>
      <w:r w:rsidRPr="00496FD7">
        <w:t>2. отменяне на планирана процедура;</w:t>
      </w:r>
    </w:p>
    <w:p w:rsidR="007E360C" w:rsidRPr="00496FD7" w:rsidRDefault="007E360C" w:rsidP="007E360C">
      <w:pPr>
        <w:tabs>
          <w:tab w:val="left" w:pos="1276"/>
        </w:tabs>
        <w:ind w:left="1211" w:firstLine="0"/>
      </w:pPr>
      <w:r w:rsidRPr="00496FD7">
        <w:t>3. промяна по отношение на конкретна процедура, свързана със:</w:t>
      </w:r>
    </w:p>
    <w:p w:rsidR="007E360C" w:rsidRPr="00496FD7" w:rsidRDefault="007E360C" w:rsidP="007E360C">
      <w:pPr>
        <w:tabs>
          <w:tab w:val="left" w:pos="1276"/>
        </w:tabs>
        <w:ind w:left="1211" w:firstLine="0"/>
      </w:pPr>
      <w:r w:rsidRPr="00496FD7">
        <w:tab/>
      </w:r>
      <w:r w:rsidRPr="00496FD7">
        <w:tab/>
        <w:t>а) целите й;</w:t>
      </w:r>
    </w:p>
    <w:p w:rsidR="007E360C" w:rsidRPr="00496FD7" w:rsidRDefault="007E360C" w:rsidP="007E360C">
      <w:pPr>
        <w:tabs>
          <w:tab w:val="left" w:pos="1276"/>
        </w:tabs>
        <w:ind w:left="1211" w:firstLine="0"/>
      </w:pPr>
      <w:r w:rsidRPr="00496FD7">
        <w:tab/>
      </w:r>
      <w:r w:rsidRPr="00496FD7">
        <w:tab/>
        <w:t>б) общия размер на финансовата помощ по процедурата - при промяна с повече от 50 на сто спрямо първоначално заложения;</w:t>
      </w:r>
    </w:p>
    <w:p w:rsidR="007E360C" w:rsidRPr="00496FD7" w:rsidRDefault="007E360C" w:rsidP="007E360C">
      <w:pPr>
        <w:tabs>
          <w:tab w:val="left" w:pos="1276"/>
        </w:tabs>
        <w:ind w:left="1211" w:firstLine="0"/>
      </w:pPr>
      <w:r w:rsidRPr="00496FD7">
        <w:tab/>
      </w:r>
      <w:r w:rsidRPr="00496FD7">
        <w:tab/>
        <w:t>в) допустимите кандидати.</w:t>
      </w:r>
    </w:p>
    <w:p w:rsidR="007E360C" w:rsidRPr="00496FD7" w:rsidRDefault="007E360C" w:rsidP="007E360C">
      <w:pPr>
        <w:tabs>
          <w:tab w:val="left" w:pos="1276"/>
        </w:tabs>
        <w:ind w:left="1211" w:firstLine="0"/>
      </w:pPr>
    </w:p>
    <w:p w:rsidR="007E360C" w:rsidRPr="00496FD7" w:rsidRDefault="007E360C" w:rsidP="007E360C">
      <w:pPr>
        <w:tabs>
          <w:tab w:val="left" w:pos="1276"/>
        </w:tabs>
        <w:ind w:firstLine="0"/>
      </w:pPr>
      <w:r w:rsidRPr="00496FD7">
        <w:tab/>
        <w:t>Извън гореизброените случаи измененията в индикативните годишни работни програми се утвърждават от ръководителя на управляващия орган на съответната програма и се изпращат на Комитета за наблюдение за информация.</w:t>
      </w:r>
    </w:p>
    <w:p w:rsidR="007E360C" w:rsidRPr="00496FD7" w:rsidRDefault="007E360C" w:rsidP="007E360C">
      <w:pPr>
        <w:tabs>
          <w:tab w:val="left" w:pos="1276"/>
        </w:tabs>
        <w:ind w:left="1211" w:firstLine="0"/>
      </w:pPr>
    </w:p>
    <w:p w:rsidR="007E360C" w:rsidRPr="00496FD7" w:rsidRDefault="007E360C" w:rsidP="007E360C">
      <w:pPr>
        <w:tabs>
          <w:tab w:val="left" w:pos="1276"/>
        </w:tabs>
      </w:pPr>
      <w:r w:rsidRPr="00496FD7">
        <w:t>Всички изменения в индикативната годишна работна програма се публикуват на електронната страница на съответната програма, на Единния информационен портал и в ИСУН, като измененията по чл. 26, ал. 8 от ПМС 23/2023 г. се публикуват в едноседмичен срок от съгласуването им по реда на чл. 26, ал. 8 от ПМС 23/2023 г., съответно от утвърждаването им по реда на чл. 26, ал. 9 от ПМС 23/2023 г..</w:t>
      </w:r>
    </w:p>
    <w:p w:rsidR="007E360C" w:rsidRPr="00496FD7" w:rsidRDefault="007E360C" w:rsidP="007E360C">
      <w:pPr>
        <w:rPr>
          <w:i/>
          <w:lang w:eastAsia="bg-BG"/>
        </w:rPr>
      </w:pPr>
    </w:p>
    <w:p w:rsidR="007E360C" w:rsidRPr="00496FD7" w:rsidRDefault="007E360C" w:rsidP="007E360C">
      <w:pPr>
        <w:rPr>
          <w:lang w:eastAsia="bg-BG"/>
        </w:rPr>
      </w:pPr>
      <w:r w:rsidRPr="00496FD7">
        <w:rPr>
          <w:i/>
          <w:lang w:eastAsia="bg-BG"/>
        </w:rPr>
        <w:t>Срок за изпълнение:</w:t>
      </w:r>
      <w:r w:rsidRPr="00496FD7">
        <w:rPr>
          <w:lang w:eastAsia="bg-BG"/>
        </w:rPr>
        <w:t xml:space="preserve"> Съгласно процедурните правила за работа на КН на ПТС.</w:t>
      </w:r>
    </w:p>
    <w:p w:rsidR="007E360C" w:rsidRPr="00496FD7" w:rsidRDefault="007E360C" w:rsidP="007E360C">
      <w:pPr>
        <w:rPr>
          <w:b/>
          <w:lang w:eastAsia="bg-BG"/>
        </w:rPr>
      </w:pPr>
    </w:p>
    <w:p w:rsidR="007E360C" w:rsidRPr="00496FD7" w:rsidRDefault="007E360C" w:rsidP="00E80472">
      <w:pPr>
        <w:pStyle w:val="ListParagraph"/>
        <w:numPr>
          <w:ilvl w:val="0"/>
          <w:numId w:val="91"/>
        </w:numPr>
        <w:tabs>
          <w:tab w:val="left" w:pos="1276"/>
        </w:tabs>
        <w:ind w:left="0" w:firstLine="851"/>
      </w:pPr>
      <w:r w:rsidRPr="00496FD7">
        <w:t xml:space="preserve">След одобрението на изменената ИГРП,  отговорният експерт в отдел „Програмиране“ изпраща по електронен път финалния вариант на отдел „Информация, публичност и техническа помощ” за публикуването му на интернет страницата на ПТС в ЕИП </w:t>
      </w:r>
      <w:hyperlink r:id="rId17" w:history="1">
        <w:r w:rsidRPr="00496FD7">
          <w:rPr>
            <w:rStyle w:val="Hyperlink"/>
          </w:rPr>
          <w:t>www.eufunds.bg</w:t>
        </w:r>
      </w:hyperlink>
      <w:r w:rsidRPr="00496FD7">
        <w:t xml:space="preserve"> в срок до 7 работни дни от одобрението на изменената ИГРП.</w:t>
      </w:r>
    </w:p>
    <w:p w:rsidR="007E360C" w:rsidRPr="00496FD7" w:rsidRDefault="007E360C" w:rsidP="007E360C">
      <w:pPr>
        <w:rPr>
          <w:i/>
        </w:rPr>
      </w:pPr>
    </w:p>
    <w:p w:rsidR="007E360C" w:rsidRPr="00496FD7" w:rsidRDefault="007E360C" w:rsidP="007E360C">
      <w:r w:rsidRPr="00496FD7">
        <w:rPr>
          <w:i/>
        </w:rPr>
        <w:t>Срок за изпълнение:</w:t>
      </w:r>
      <w:r w:rsidRPr="00496FD7">
        <w:t xml:space="preserve"> Всички изменения в индикативната годишна работна програма се публикуват на електронната страница на съответната програма и на Единния информационен портал, като измененията по чл. 26, ал. 8 от ПМС 23/2023 г. се публикуват в едноседмичен срок от съгласуването им.</w:t>
      </w:r>
    </w:p>
    <w:p w:rsidR="007E360C" w:rsidRPr="00496FD7" w:rsidRDefault="007E360C" w:rsidP="007E360C"/>
    <w:p w:rsidR="007E360C" w:rsidRPr="00496FD7" w:rsidRDefault="007E360C" w:rsidP="007E360C">
      <w:pPr>
        <w:pStyle w:val="Style1"/>
      </w:pPr>
      <w:bookmarkStart w:id="44" w:name="_Toc479775622"/>
      <w:bookmarkStart w:id="45" w:name="_Toc140150202"/>
      <w:bookmarkStart w:id="46" w:name="_Toc152769883"/>
      <w:r w:rsidRPr="00496FD7">
        <w:t>ПОДГОТОВКА НА ПРОЕКТИ</w:t>
      </w:r>
      <w:bookmarkEnd w:id="44"/>
      <w:bookmarkEnd w:id="45"/>
      <w:bookmarkEnd w:id="46"/>
    </w:p>
    <w:p w:rsidR="007E360C" w:rsidRPr="00496FD7" w:rsidRDefault="007E360C" w:rsidP="007E360C">
      <w:pPr>
        <w:pStyle w:val="Style2"/>
        <w:rPr>
          <w:lang w:eastAsia="bg-BG"/>
        </w:rPr>
      </w:pPr>
      <w:bookmarkStart w:id="47" w:name="_Toc479775623"/>
      <w:bookmarkStart w:id="48" w:name="_Toc140150203"/>
      <w:bookmarkStart w:id="49" w:name="_Toc152769884"/>
      <w:r w:rsidRPr="00496FD7">
        <w:rPr>
          <w:lang w:eastAsia="bg-BG"/>
        </w:rPr>
        <w:t>Цикъл на проекта</w:t>
      </w:r>
      <w:bookmarkEnd w:id="47"/>
      <w:bookmarkEnd w:id="48"/>
      <w:bookmarkEnd w:id="49"/>
    </w:p>
    <w:p w:rsidR="007E360C" w:rsidRPr="00496FD7" w:rsidRDefault="007E360C" w:rsidP="00E80472">
      <w:pPr>
        <w:pStyle w:val="ListParagraph"/>
        <w:numPr>
          <w:ilvl w:val="0"/>
          <w:numId w:val="85"/>
        </w:numPr>
        <w:ind w:left="0" w:firstLine="851"/>
      </w:pPr>
      <w:r w:rsidRPr="00496FD7">
        <w:t>Схема на проектния цикъл</w:t>
      </w:r>
    </w:p>
    <w:p w:rsidR="007E360C" w:rsidRPr="00496FD7" w:rsidRDefault="007E360C" w:rsidP="007E360C">
      <w:pPr>
        <w:rPr>
          <w:szCs w:val="24"/>
          <w:lang w:eastAsia="bg-BG"/>
        </w:rPr>
      </w:pPr>
      <w:r w:rsidRPr="00496FD7">
        <w:rPr>
          <w:noProof/>
          <w:szCs w:val="24"/>
          <w:lang w:val="en-US" w:eastAsia="en-US"/>
        </w:rPr>
        <w:lastRenderedPageBreak/>
        <w:drawing>
          <wp:inline distT="0" distB="0" distL="0" distR="0" wp14:anchorId="62064BA4" wp14:editId="2690C96B">
            <wp:extent cx="5129530" cy="3844290"/>
            <wp:effectExtent l="57150" t="19050" r="33020" b="80010"/>
            <wp:docPr id="7" name="Picture 6" descr="Title: SmartArt - Description: Vertical Chevron List"/>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rsidR="007E360C" w:rsidRPr="00496FD7" w:rsidRDefault="007E360C" w:rsidP="007E360C">
      <w:pPr>
        <w:rPr>
          <w:szCs w:val="24"/>
          <w:lang w:eastAsia="bg-BG"/>
        </w:rPr>
      </w:pPr>
    </w:p>
    <w:p w:rsidR="007E360C" w:rsidRPr="00496FD7" w:rsidRDefault="007E360C" w:rsidP="00E80472">
      <w:pPr>
        <w:pStyle w:val="ListParagraph"/>
        <w:numPr>
          <w:ilvl w:val="0"/>
          <w:numId w:val="85"/>
        </w:numPr>
        <w:ind w:left="0" w:firstLine="851"/>
      </w:pPr>
      <w:r w:rsidRPr="00496FD7">
        <w:t>Критични точки на проектния цикъл.</w:t>
      </w:r>
    </w:p>
    <w:p w:rsidR="007E360C" w:rsidRPr="00496FD7" w:rsidRDefault="007E360C" w:rsidP="007E360C">
      <w:pPr>
        <w:rPr>
          <w:b/>
          <w:lang w:eastAsia="bg-BG"/>
        </w:rPr>
      </w:pPr>
    </w:p>
    <w:p w:rsidR="007E360C" w:rsidRPr="00496FD7" w:rsidRDefault="007E360C" w:rsidP="007E360C">
      <w:pPr>
        <w:rPr>
          <w:b/>
          <w:u w:val="single"/>
          <w:lang w:eastAsia="bg-BG"/>
        </w:rPr>
      </w:pPr>
      <w:r w:rsidRPr="00496FD7">
        <w:rPr>
          <w:b/>
          <w:u w:val="single"/>
          <w:lang w:eastAsia="bg-BG"/>
        </w:rPr>
        <w:t>Идентифициране:</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 xml:space="preserve">Анализи - Предпроектно проучване, анализ разходи-ползи; предварителна оценка; </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 xml:space="preserve">Проблемът и неговото най-добро решение – социални и икономически ползи и загуби, възможни алтернативи; </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Финансов анализ – устойчивост, очаквани приходи, оперативни разходи;</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 xml:space="preserve">Несигурност – Чувствителност и анализ на риска (отклонения от времевия график и плана на разходите). Достоверност на данните. </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Оценка на въздействието на околната среда</w:t>
      </w:r>
    </w:p>
    <w:p w:rsidR="007E360C" w:rsidRPr="00496FD7" w:rsidRDefault="007E360C" w:rsidP="007E360C">
      <w:pPr>
        <w:tabs>
          <w:tab w:val="left" w:pos="1134"/>
        </w:tabs>
        <w:rPr>
          <w:lang w:eastAsia="bg-BG"/>
        </w:rPr>
      </w:pPr>
    </w:p>
    <w:p w:rsidR="007E360C" w:rsidRPr="00496FD7" w:rsidRDefault="007E360C" w:rsidP="007E360C">
      <w:pPr>
        <w:rPr>
          <w:b/>
          <w:u w:val="single"/>
          <w:lang w:eastAsia="bg-BG"/>
        </w:rPr>
      </w:pPr>
      <w:r w:rsidRPr="00496FD7">
        <w:rPr>
          <w:b/>
          <w:u w:val="single"/>
          <w:lang w:eastAsia="bg-BG"/>
        </w:rPr>
        <w:t xml:space="preserve">Формулиране на проектно предложение: </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 xml:space="preserve">Правилното измерение (проект, фаза, група); </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Връзка със съществуващата инфраструктура;</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Описание на местоположението;</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Разходи и план за изпълнение;</w:t>
      </w:r>
    </w:p>
    <w:p w:rsidR="007E360C" w:rsidRPr="00496FD7" w:rsidRDefault="007E360C" w:rsidP="007E360C">
      <w:pPr>
        <w:rPr>
          <w:szCs w:val="24"/>
          <w:lang w:eastAsia="bg-BG"/>
        </w:rPr>
      </w:pPr>
    </w:p>
    <w:p w:rsidR="007E360C" w:rsidRPr="00496FD7" w:rsidRDefault="007E360C" w:rsidP="007E360C">
      <w:pPr>
        <w:rPr>
          <w:b/>
          <w:u w:val="single"/>
          <w:lang w:eastAsia="bg-BG"/>
        </w:rPr>
      </w:pPr>
      <w:r w:rsidRPr="00496FD7">
        <w:rPr>
          <w:b/>
          <w:u w:val="single"/>
          <w:lang w:eastAsia="bg-BG"/>
        </w:rPr>
        <w:t>Финансиране:</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Национални и европейски финансови източници (размер на съфинансиране);</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Финансов капацитет на националните източници, достъп до кредити;</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Генерирани приходи – принципът „замърсителят плаща”;</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 xml:space="preserve">График на плащанията. </w:t>
      </w:r>
    </w:p>
    <w:p w:rsidR="007E360C" w:rsidRPr="00496FD7" w:rsidRDefault="007E360C" w:rsidP="007E360C">
      <w:pPr>
        <w:rPr>
          <w:szCs w:val="24"/>
          <w:lang w:eastAsia="bg-BG"/>
        </w:rPr>
      </w:pPr>
    </w:p>
    <w:p w:rsidR="007E360C" w:rsidRPr="00496FD7" w:rsidRDefault="007E360C" w:rsidP="007E360C">
      <w:pPr>
        <w:rPr>
          <w:b/>
          <w:u w:val="single"/>
          <w:lang w:eastAsia="bg-BG"/>
        </w:rPr>
      </w:pPr>
      <w:r w:rsidRPr="00496FD7">
        <w:rPr>
          <w:b/>
          <w:u w:val="single"/>
          <w:lang w:eastAsia="bg-BG"/>
        </w:rPr>
        <w:lastRenderedPageBreak/>
        <w:t>Изпълнение  – планът за действие се изпълнява и напредъкът на изпълнението се проследява:</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Придобиване на земи – координация между субекти, административни и правни процедури; споразумения;</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Обществени поръчки – Документация за участие, включително Техническо задание (техническа спецификация), критерии за оценка, финансови условия; провеждане на процедури за обществени поръчки;</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Сключване на договор – ясно дефиниране на физическия обект, права и задължения на страните;</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Авансово плащане, отклонения от цената и времевия график;</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Отчитане и искания за плащане (фактури и количествени сметки) – физически и финансови индикатори;</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Наблюдение и контрол на работата;</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Ръководител на проекта;</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Приемане на работата – функционални тестове, окончателни плащания, лицензиране.</w:t>
      </w:r>
    </w:p>
    <w:p w:rsidR="007E360C" w:rsidRPr="00496FD7" w:rsidRDefault="007E360C" w:rsidP="007E360C">
      <w:pPr>
        <w:rPr>
          <w:szCs w:val="24"/>
          <w:lang w:eastAsia="bg-BG"/>
        </w:rPr>
      </w:pPr>
    </w:p>
    <w:p w:rsidR="007E360C" w:rsidRPr="00496FD7" w:rsidRDefault="007E360C" w:rsidP="007E360C">
      <w:pPr>
        <w:rPr>
          <w:b/>
          <w:u w:val="single"/>
          <w:lang w:eastAsia="bg-BG"/>
        </w:rPr>
      </w:pPr>
      <w:r w:rsidRPr="00496FD7">
        <w:rPr>
          <w:b/>
          <w:u w:val="single"/>
          <w:lang w:eastAsia="bg-BG"/>
        </w:rPr>
        <w:t xml:space="preserve">Оценка: </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 xml:space="preserve">Окончателен доклад – индикатори за резултати, изпълнение и въздействие; </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Потвърждаване на първоначалните допускания;</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Условия за поддръжка и функциониране;</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Оценка на изпълнените мерки по въздействието върху околната среда;</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Фактори за успех и критични области – извлечени поуки.</w:t>
      </w:r>
    </w:p>
    <w:p w:rsidR="007E360C" w:rsidRPr="00496FD7" w:rsidRDefault="007E360C" w:rsidP="007E360C">
      <w:pPr>
        <w:rPr>
          <w:szCs w:val="24"/>
          <w:lang w:eastAsia="bg-BG"/>
        </w:rPr>
      </w:pPr>
    </w:p>
    <w:p w:rsidR="007E360C" w:rsidRPr="00496FD7" w:rsidRDefault="007E360C" w:rsidP="007E360C">
      <w:pPr>
        <w:rPr>
          <w:b/>
          <w:u w:val="single"/>
          <w:lang w:eastAsia="bg-BG"/>
        </w:rPr>
      </w:pPr>
      <w:r w:rsidRPr="00496FD7">
        <w:rPr>
          <w:b/>
          <w:u w:val="single"/>
          <w:lang w:eastAsia="bg-BG"/>
        </w:rPr>
        <w:t>Приключване</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проектът е завършен, документиран и оценен.</w:t>
      </w:r>
    </w:p>
    <w:p w:rsidR="007E360C" w:rsidRPr="00496FD7" w:rsidRDefault="007E360C" w:rsidP="007E360C">
      <w:pPr>
        <w:pStyle w:val="Style2"/>
        <w:rPr>
          <w:lang w:val="bg-BG" w:eastAsia="bg-BG"/>
        </w:rPr>
      </w:pPr>
      <w:bookmarkStart w:id="50" w:name="_Toc479775624"/>
      <w:bookmarkStart w:id="51" w:name="_Toc140150204"/>
      <w:bookmarkStart w:id="52" w:name="_Toc152769885"/>
      <w:r w:rsidRPr="00496FD7">
        <w:rPr>
          <w:lang w:val="bg-BG" w:eastAsia="bg-BG"/>
        </w:rPr>
        <w:t>Обобщена схема за подготовка на проекти</w:t>
      </w:r>
      <w:bookmarkEnd w:id="50"/>
      <w:bookmarkEnd w:id="51"/>
      <w:bookmarkEnd w:id="52"/>
    </w:p>
    <w:p w:rsidR="007E360C" w:rsidRPr="00496FD7" w:rsidRDefault="00EF15E3" w:rsidP="00EF15E3">
      <w:pPr>
        <w:ind w:firstLine="0"/>
        <w:jc w:val="center"/>
        <w:rPr>
          <w:szCs w:val="24"/>
          <w:lang w:eastAsia="bg-BG"/>
        </w:rPr>
      </w:pPr>
      <w:r w:rsidRPr="00496FD7">
        <w:rPr>
          <w:szCs w:val="24"/>
          <w:lang w:eastAsia="bg-BG"/>
        </w:rPr>
        <w:object w:dxaOrig="7216" w:dyaOrig="54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pt;height:204pt" o:ole="">
            <v:imagedata r:id="rId23" o:title=""/>
          </v:shape>
          <o:OLEObject Type="Embed" ProgID="PowerPoint.Show.12" ShapeID="_x0000_i1025" DrawAspect="Content" ObjectID="_1763385748" r:id="rId24"/>
        </w:object>
      </w:r>
    </w:p>
    <w:p w:rsidR="007E360C" w:rsidRPr="00496FD7" w:rsidRDefault="007E360C" w:rsidP="007E360C">
      <w:pPr>
        <w:rPr>
          <w:lang w:eastAsia="bg-BG"/>
        </w:rPr>
      </w:pPr>
      <w:r w:rsidRPr="00496FD7">
        <w:rPr>
          <w:lang w:eastAsia="bg-BG"/>
        </w:rPr>
        <w:t xml:space="preserve">За да бъдат финансирани от ПТС, проектните предложения трябва да бъдат финансово, икономически, социално и екологично надеждни. За да се докаже това, те трябва да бъдат подготвени в съответствие с определен брой формално административни и </w:t>
      </w:r>
      <w:r w:rsidRPr="00496FD7">
        <w:rPr>
          <w:lang w:eastAsia="bg-BG"/>
        </w:rPr>
        <w:lastRenderedPageBreak/>
        <w:t xml:space="preserve">технически критерии. Освен това, те трябва да отговарят на целите на ПТС и да попадат в някои от допустимите дейности за финансиране, заложени в приоритетите на ПТС. </w:t>
      </w:r>
    </w:p>
    <w:p w:rsidR="007E360C" w:rsidRPr="00496FD7" w:rsidRDefault="007E360C" w:rsidP="007E360C">
      <w:pPr>
        <w:rPr>
          <w:lang w:eastAsia="bg-BG"/>
        </w:rPr>
      </w:pPr>
    </w:p>
    <w:p w:rsidR="007E360C" w:rsidRPr="00496FD7" w:rsidRDefault="007E360C" w:rsidP="00E80472">
      <w:pPr>
        <w:pStyle w:val="ListParagraph"/>
        <w:numPr>
          <w:ilvl w:val="0"/>
          <w:numId w:val="87"/>
        </w:numPr>
        <w:ind w:left="0" w:firstLine="851"/>
        <w:rPr>
          <w:b/>
          <w:lang w:eastAsia="bg-BG"/>
        </w:rPr>
      </w:pPr>
      <w:r w:rsidRPr="00496FD7">
        <w:rPr>
          <w:b/>
          <w:lang w:eastAsia="bg-BG"/>
        </w:rPr>
        <w:t>Идентифициране на проблемите и нуждите</w:t>
      </w:r>
    </w:p>
    <w:p w:rsidR="007E360C" w:rsidRPr="00496FD7" w:rsidRDefault="007E360C" w:rsidP="007E360C">
      <w:pPr>
        <w:rPr>
          <w:lang w:eastAsia="bg-BG"/>
        </w:rPr>
      </w:pPr>
      <w:r w:rsidRPr="00496FD7">
        <w:rPr>
          <w:lang w:eastAsia="bg-BG"/>
        </w:rPr>
        <w:t>Идентифицирането на едно проектно предложение започва с формулирането на необходимост от разработване и разпознаване на ситуация, която трябва да бъде променена. По този начин, проектното предложение представлява повече от идея или нужда. В процеса на подготовка на проектното предложение трябва да бъде дефинирано следното:</w:t>
      </w:r>
    </w:p>
    <w:p w:rsidR="007E360C" w:rsidRPr="00496FD7" w:rsidRDefault="007E360C" w:rsidP="00E80472">
      <w:pPr>
        <w:pStyle w:val="ListParagraph"/>
        <w:numPr>
          <w:ilvl w:val="0"/>
          <w:numId w:val="88"/>
        </w:numPr>
        <w:ind w:left="1134" w:hanging="283"/>
        <w:rPr>
          <w:lang w:eastAsia="bg-BG"/>
        </w:rPr>
      </w:pPr>
      <w:r w:rsidRPr="00496FD7">
        <w:rPr>
          <w:lang w:eastAsia="bg-BG"/>
        </w:rPr>
        <w:t>Неговата обосновка и проверка на необходимостта от разработването му;</w:t>
      </w:r>
    </w:p>
    <w:p w:rsidR="007E360C" w:rsidRPr="00496FD7" w:rsidRDefault="007E360C" w:rsidP="00E80472">
      <w:pPr>
        <w:pStyle w:val="ListParagraph"/>
        <w:numPr>
          <w:ilvl w:val="0"/>
          <w:numId w:val="88"/>
        </w:numPr>
        <w:ind w:left="1134" w:hanging="283"/>
        <w:rPr>
          <w:lang w:eastAsia="bg-BG"/>
        </w:rPr>
      </w:pPr>
      <w:r w:rsidRPr="00496FD7">
        <w:rPr>
          <w:lang w:eastAsia="bg-BG"/>
        </w:rPr>
        <w:t>Неговите цели и измеримите индикатори за постигане на целите;</w:t>
      </w:r>
    </w:p>
    <w:p w:rsidR="007E360C" w:rsidRPr="00496FD7" w:rsidRDefault="007E360C" w:rsidP="00E80472">
      <w:pPr>
        <w:pStyle w:val="ListParagraph"/>
        <w:numPr>
          <w:ilvl w:val="0"/>
          <w:numId w:val="88"/>
        </w:numPr>
        <w:ind w:left="1134" w:hanging="283"/>
        <w:rPr>
          <w:lang w:eastAsia="bg-BG"/>
        </w:rPr>
      </w:pPr>
      <w:r w:rsidRPr="00496FD7">
        <w:rPr>
          <w:lang w:eastAsia="bg-BG"/>
        </w:rPr>
        <w:t>Най-добрите методи за постигане на целите на базата на различни алтернативи;</w:t>
      </w:r>
    </w:p>
    <w:p w:rsidR="007E360C" w:rsidRPr="00496FD7" w:rsidRDefault="007E360C" w:rsidP="00E80472">
      <w:pPr>
        <w:pStyle w:val="ListParagraph"/>
        <w:numPr>
          <w:ilvl w:val="0"/>
          <w:numId w:val="88"/>
        </w:numPr>
        <w:ind w:left="1134" w:hanging="283"/>
        <w:rPr>
          <w:lang w:eastAsia="bg-BG"/>
        </w:rPr>
      </w:pPr>
      <w:r w:rsidRPr="00496FD7">
        <w:rPr>
          <w:lang w:eastAsia="bg-BG"/>
        </w:rPr>
        <w:t>Подробен списък със задачи, които да бъдат изпълнени;</w:t>
      </w:r>
    </w:p>
    <w:p w:rsidR="007E360C" w:rsidRPr="00496FD7" w:rsidRDefault="007E360C" w:rsidP="00E80472">
      <w:pPr>
        <w:pStyle w:val="ListParagraph"/>
        <w:numPr>
          <w:ilvl w:val="0"/>
          <w:numId w:val="88"/>
        </w:numPr>
        <w:ind w:left="1134" w:hanging="283"/>
        <w:rPr>
          <w:lang w:eastAsia="bg-BG"/>
        </w:rPr>
      </w:pPr>
      <w:r w:rsidRPr="00496FD7">
        <w:rPr>
          <w:lang w:eastAsia="bg-BG"/>
        </w:rPr>
        <w:t>Времева рамка за изпълнение;</w:t>
      </w:r>
    </w:p>
    <w:p w:rsidR="007E360C" w:rsidRPr="00496FD7" w:rsidRDefault="007E360C" w:rsidP="00E80472">
      <w:pPr>
        <w:pStyle w:val="ListParagraph"/>
        <w:numPr>
          <w:ilvl w:val="0"/>
          <w:numId w:val="88"/>
        </w:numPr>
        <w:ind w:left="1134" w:hanging="283"/>
        <w:rPr>
          <w:lang w:eastAsia="bg-BG"/>
        </w:rPr>
      </w:pPr>
      <w:r w:rsidRPr="00496FD7">
        <w:rPr>
          <w:lang w:eastAsia="bg-BG"/>
        </w:rPr>
        <w:t>Отговорно лице или организация - бенефициент;</w:t>
      </w:r>
    </w:p>
    <w:p w:rsidR="007E360C" w:rsidRPr="00496FD7" w:rsidRDefault="007E360C" w:rsidP="00E80472">
      <w:pPr>
        <w:pStyle w:val="ListParagraph"/>
        <w:numPr>
          <w:ilvl w:val="0"/>
          <w:numId w:val="88"/>
        </w:numPr>
        <w:ind w:left="1134" w:hanging="283"/>
        <w:rPr>
          <w:lang w:eastAsia="bg-BG"/>
        </w:rPr>
      </w:pPr>
      <w:r w:rsidRPr="00496FD7">
        <w:rPr>
          <w:lang w:eastAsia="bg-BG"/>
        </w:rPr>
        <w:t>Необходимите финансови, човешки и организационни ресурси;</w:t>
      </w:r>
    </w:p>
    <w:p w:rsidR="007E360C" w:rsidRPr="00496FD7" w:rsidRDefault="007E360C" w:rsidP="00E80472">
      <w:pPr>
        <w:pStyle w:val="ListParagraph"/>
        <w:numPr>
          <w:ilvl w:val="0"/>
          <w:numId w:val="88"/>
        </w:numPr>
        <w:ind w:left="1134" w:hanging="283"/>
        <w:rPr>
          <w:lang w:eastAsia="bg-BG"/>
        </w:rPr>
      </w:pPr>
      <w:r w:rsidRPr="00496FD7">
        <w:rPr>
          <w:lang w:eastAsia="bg-BG"/>
        </w:rPr>
        <w:t>Външните условия, оказващи влияние върху проекта и необходими за успешното изпълнение на проекта.</w:t>
      </w:r>
    </w:p>
    <w:p w:rsidR="007E360C" w:rsidRPr="00496FD7" w:rsidRDefault="007E360C" w:rsidP="007E360C">
      <w:pPr>
        <w:rPr>
          <w:szCs w:val="24"/>
          <w:lang w:eastAsia="bg-BG"/>
        </w:rPr>
      </w:pPr>
    </w:p>
    <w:p w:rsidR="007E360C" w:rsidRPr="00496FD7" w:rsidRDefault="007E360C" w:rsidP="00E80472">
      <w:pPr>
        <w:pStyle w:val="ListParagraph"/>
        <w:numPr>
          <w:ilvl w:val="0"/>
          <w:numId w:val="87"/>
        </w:numPr>
        <w:ind w:left="0" w:firstLine="851"/>
        <w:rPr>
          <w:b/>
          <w:lang w:eastAsia="bg-BG"/>
        </w:rPr>
      </w:pPr>
      <w:r w:rsidRPr="00496FD7">
        <w:rPr>
          <w:b/>
          <w:lang w:eastAsia="bg-BG"/>
        </w:rPr>
        <w:t>Предпроектни и прединвестиционни проучвания.</w:t>
      </w:r>
    </w:p>
    <w:p w:rsidR="007E360C" w:rsidRPr="00496FD7" w:rsidRDefault="007E360C" w:rsidP="007E360C">
      <w:pPr>
        <w:rPr>
          <w:lang w:eastAsia="bg-BG"/>
        </w:rPr>
      </w:pPr>
      <w:r w:rsidRPr="00496FD7">
        <w:rPr>
          <w:lang w:eastAsia="bg-BG"/>
        </w:rPr>
        <w:t>За определяне на обхвата на всеки един от проектите и подпомагане процеса на подготовката на проектните предложения за кандидатстване бенефициентите извършват анализ на намеренията и готовността за изпълнение на инвестиционните инфраструктурни проекти. Бенефициентите представят в УО на ПТС следната информация:</w:t>
      </w:r>
    </w:p>
    <w:p w:rsidR="007E360C" w:rsidRPr="00496FD7" w:rsidRDefault="007E360C" w:rsidP="007E360C">
      <w:pPr>
        <w:rPr>
          <w:lang w:eastAsia="bg-BG"/>
        </w:rPr>
      </w:pPr>
      <w:r w:rsidRPr="00496FD7">
        <w:rPr>
          <w:lang w:eastAsia="bg-BG"/>
        </w:rPr>
        <w:t xml:space="preserve">Степента на готовност на инвестиционните проекти – т.е. наличие пред-проектно проучване и етап на проектиране, наличие на разрешителни, проведени процедури за </w:t>
      </w:r>
      <w:r w:rsidRPr="00496FD7">
        <w:t>възлагане</w:t>
      </w:r>
      <w:r w:rsidRPr="00496FD7">
        <w:rPr>
          <w:lang w:eastAsia="bg-BG"/>
        </w:rPr>
        <w:t xml:space="preserve"> на обществени поръчки и други; </w:t>
      </w:r>
    </w:p>
    <w:p w:rsidR="007E360C" w:rsidRPr="00496FD7" w:rsidRDefault="007E360C" w:rsidP="007E360C">
      <w:pPr>
        <w:rPr>
          <w:lang w:eastAsia="bg-BG"/>
        </w:rPr>
      </w:pPr>
      <w:r w:rsidRPr="00496FD7">
        <w:rPr>
          <w:lang w:eastAsia="bg-BG"/>
        </w:rPr>
        <w:t xml:space="preserve">Основни технически параметри на инвестиционния проект описание на реконструирана, ремонтирана, модернизирана или изгражданата инфраструктура, проектните данни и т.н.; </w:t>
      </w:r>
    </w:p>
    <w:p w:rsidR="007E360C" w:rsidRPr="00496FD7" w:rsidRDefault="007E360C" w:rsidP="007E360C">
      <w:pPr>
        <w:rPr>
          <w:lang w:eastAsia="bg-BG"/>
        </w:rPr>
      </w:pPr>
      <w:r w:rsidRPr="00496FD7">
        <w:rPr>
          <w:lang w:eastAsia="bg-BG"/>
        </w:rPr>
        <w:t xml:space="preserve">Основни финансови параметри на инвестиционния проект – размер на необходимата </w:t>
      </w:r>
      <w:r w:rsidRPr="00496FD7">
        <w:t>инвестиция</w:t>
      </w:r>
      <w:r w:rsidRPr="00496FD7">
        <w:rPr>
          <w:lang w:eastAsia="bg-BG"/>
        </w:rPr>
        <w:t xml:space="preserve"> – обща стойността на проекта, устойчивост на проекта, други. </w:t>
      </w:r>
    </w:p>
    <w:p w:rsidR="007E360C" w:rsidRPr="00496FD7" w:rsidRDefault="007E360C" w:rsidP="007E360C">
      <w:pPr>
        <w:rPr>
          <w:szCs w:val="24"/>
          <w:lang w:eastAsia="bg-BG"/>
        </w:rPr>
      </w:pPr>
    </w:p>
    <w:p w:rsidR="007E360C" w:rsidRPr="00496FD7" w:rsidRDefault="007E360C" w:rsidP="007E360C">
      <w:pPr>
        <w:pStyle w:val="Style1"/>
      </w:pPr>
      <w:bookmarkStart w:id="53" w:name="_Toc479775625"/>
      <w:bookmarkStart w:id="54" w:name="_Toc140150205"/>
      <w:bookmarkStart w:id="55" w:name="_Toc152769886"/>
      <w:r w:rsidRPr="00496FD7">
        <w:t xml:space="preserve">ОБЩИ ПОЛОЖЕНИЯ НА ПРОЦЕДУРАТА </w:t>
      </w:r>
      <w:r w:rsidR="003F0617">
        <w:t>ПО</w:t>
      </w:r>
      <w:r w:rsidRPr="00496FD7">
        <w:t xml:space="preserve"> </w:t>
      </w:r>
      <w:bookmarkStart w:id="56" w:name="_Toc460251222"/>
      <w:r w:rsidRPr="00496FD7">
        <w:t>ПРЕДОСТАВЯНЕ НА БФП</w:t>
      </w:r>
      <w:bookmarkEnd w:id="53"/>
      <w:bookmarkEnd w:id="54"/>
      <w:bookmarkEnd w:id="56"/>
      <w:bookmarkEnd w:id="55"/>
    </w:p>
    <w:p w:rsidR="007E360C" w:rsidRPr="00496FD7" w:rsidRDefault="007E360C" w:rsidP="007E360C">
      <w:pPr>
        <w:spacing w:before="120"/>
        <w:rPr>
          <w:szCs w:val="24"/>
          <w:lang w:eastAsia="bg-BG"/>
        </w:rPr>
      </w:pPr>
      <w:bookmarkStart w:id="57" w:name="_Toc464561644"/>
      <w:bookmarkStart w:id="58" w:name="_Toc464573356"/>
      <w:bookmarkStart w:id="59" w:name="_Toc464573809"/>
      <w:bookmarkStart w:id="60" w:name="_Ref395880046"/>
      <w:bookmarkEnd w:id="57"/>
      <w:bookmarkEnd w:id="58"/>
      <w:bookmarkEnd w:id="59"/>
      <w:r w:rsidRPr="00496FD7">
        <w:rPr>
          <w:szCs w:val="24"/>
          <w:lang w:eastAsia="bg-BG"/>
        </w:rPr>
        <w:t xml:space="preserve">БФП по ПТС се предоставя за постигане на целите на ПТС и при условията, определени в нея. Програмата се финансира от Европейския фонд за регионално развитие и Кохезионния фонд на ЕС. </w:t>
      </w:r>
      <w:bookmarkEnd w:id="60"/>
    </w:p>
    <w:p w:rsidR="00995416" w:rsidRPr="00995416" w:rsidRDefault="00995416" w:rsidP="00995416">
      <w:pPr>
        <w:spacing w:before="120"/>
        <w:ind w:firstLine="709"/>
        <w:rPr>
          <w:szCs w:val="24"/>
          <w:lang w:eastAsia="bg-BG"/>
        </w:rPr>
      </w:pPr>
      <w:r w:rsidRPr="00995416">
        <w:rPr>
          <w:szCs w:val="24"/>
          <w:lang w:eastAsia="bg-BG"/>
        </w:rPr>
        <w:t>Безвъзмездната финансова помощ се предоставя чрез:</w:t>
      </w:r>
    </w:p>
    <w:p w:rsidR="00CE0C10" w:rsidRPr="00995416" w:rsidRDefault="00995416" w:rsidP="00CE0C10">
      <w:pPr>
        <w:spacing w:before="120"/>
        <w:ind w:firstLine="709"/>
        <w:rPr>
          <w:szCs w:val="24"/>
          <w:lang w:eastAsia="bg-BG"/>
        </w:rPr>
      </w:pPr>
      <w:r w:rsidRPr="00995416">
        <w:rPr>
          <w:szCs w:val="24"/>
          <w:lang w:eastAsia="bg-BG"/>
        </w:rPr>
        <w:t>1. подбор на проектни предложения, включително на интегрирани проектни предложения, подбор на проектни предложения в изпълнение на одобрена концепция за ИТИ и на проектни предложения въз основа на одобрени стратегии за водено от общностите местно развитие, наричани по-нататък "стратегии за ВОМР"</w:t>
      </w:r>
      <w:r w:rsidR="00CE0C10">
        <w:rPr>
          <w:szCs w:val="24"/>
          <w:lang w:eastAsia="bg-BG"/>
        </w:rPr>
        <w:t>.</w:t>
      </w:r>
      <w:r w:rsidR="00CE0C10" w:rsidRPr="00CE0C10">
        <w:rPr>
          <w:szCs w:val="24"/>
          <w:lang w:eastAsia="bg-BG"/>
        </w:rPr>
        <w:t xml:space="preserve"> </w:t>
      </w:r>
      <w:r w:rsidR="00CE0C10" w:rsidRPr="00995416">
        <w:rPr>
          <w:szCs w:val="24"/>
          <w:lang w:eastAsia="bg-BG"/>
        </w:rPr>
        <w:t xml:space="preserve">В процедура чрез подбор не може да участват и безвъзмездна финансова помощ не се предоставя на лица, за които са налице обстоятелства за отстраняване от участие в процедура за възлагане на обществена поръчка съгласно Закона за обществените поръчки или които не са изпълнили разпореждане на </w:t>
      </w:r>
      <w:r w:rsidR="00CE0C10" w:rsidRPr="00995416">
        <w:rPr>
          <w:szCs w:val="24"/>
          <w:lang w:eastAsia="bg-BG"/>
        </w:rPr>
        <w:lastRenderedPageBreak/>
        <w:t>Европейската комисия за възстановяване на предоставената им неправомерна и несъвместима държавна помощ.</w:t>
      </w:r>
    </w:p>
    <w:p w:rsidR="00995416" w:rsidRPr="00995416" w:rsidRDefault="00995416" w:rsidP="00995416">
      <w:pPr>
        <w:spacing w:before="120"/>
        <w:ind w:firstLine="709"/>
        <w:rPr>
          <w:szCs w:val="24"/>
          <w:lang w:eastAsia="bg-BG"/>
        </w:rPr>
      </w:pPr>
      <w:r w:rsidRPr="00995416">
        <w:rPr>
          <w:szCs w:val="24"/>
          <w:lang w:eastAsia="bg-BG"/>
        </w:rPr>
        <w:t>2. директно предоставяне на конкретен бенефициент.</w:t>
      </w:r>
    </w:p>
    <w:p w:rsidR="00995416" w:rsidRDefault="00995416" w:rsidP="007E360C">
      <w:pPr>
        <w:spacing w:before="120"/>
        <w:ind w:firstLine="709"/>
        <w:rPr>
          <w:szCs w:val="24"/>
          <w:lang w:eastAsia="bg-BG"/>
        </w:rPr>
      </w:pPr>
      <w:r w:rsidRPr="00496FD7">
        <w:rPr>
          <w:szCs w:val="24"/>
          <w:lang w:eastAsia="bg-BG"/>
        </w:rPr>
        <w:t>Основната процедура, съответстваща на ПТС, касаеща предоставяне на БФП е на базата на директно предоставяне на помощта на определен брой конкретни бенефициенти, посочени в програмата</w:t>
      </w:r>
      <w:r w:rsidRPr="00496FD7">
        <w:rPr>
          <w:rStyle w:val="FootnoteReference"/>
          <w:szCs w:val="24"/>
          <w:lang w:eastAsia="bg-BG"/>
        </w:rPr>
        <w:footnoteReference w:id="1"/>
      </w:r>
      <w:r w:rsidRPr="00496FD7">
        <w:rPr>
          <w:szCs w:val="24"/>
          <w:lang w:eastAsia="bg-BG"/>
        </w:rPr>
        <w:t>.</w:t>
      </w:r>
    </w:p>
    <w:p w:rsidR="007E360C" w:rsidRPr="00496FD7" w:rsidRDefault="007E360C" w:rsidP="007E360C">
      <w:pPr>
        <w:spacing w:before="120"/>
        <w:ind w:firstLine="709"/>
        <w:rPr>
          <w:szCs w:val="24"/>
          <w:lang w:eastAsia="bg-BG"/>
        </w:rPr>
      </w:pPr>
      <w:r w:rsidRPr="00496FD7">
        <w:rPr>
          <w:szCs w:val="24"/>
          <w:lang w:eastAsia="bg-BG"/>
        </w:rPr>
        <w:t xml:space="preserve">Процедурата за подбор на проекти и за директно предоставяне на БФП се извършва на съответните следни етапи (глава ІІІ „Предоставяне на безвъзмездна финансова помощ“, Раздел II. </w:t>
      </w:r>
      <w:r w:rsidR="00E61CEC" w:rsidRPr="00496FD7">
        <w:rPr>
          <w:szCs w:val="24"/>
          <w:lang w:eastAsia="bg-BG"/>
        </w:rPr>
        <w:t>„</w:t>
      </w:r>
      <w:r w:rsidRPr="00496FD7">
        <w:rPr>
          <w:szCs w:val="24"/>
          <w:lang w:eastAsia="bg-BG"/>
        </w:rPr>
        <w:t>Предоставяне на безвъзмездна финансова помощ чрез подбор</w:t>
      </w:r>
      <w:r w:rsidR="00E61CEC" w:rsidRPr="00496FD7">
        <w:rPr>
          <w:szCs w:val="24"/>
          <w:lang w:eastAsia="bg-BG"/>
        </w:rPr>
        <w:t>“</w:t>
      </w:r>
      <w:r w:rsidRPr="00496FD7">
        <w:rPr>
          <w:szCs w:val="24"/>
          <w:lang w:eastAsia="bg-BG"/>
        </w:rPr>
        <w:t xml:space="preserve"> и раздел ІІІ „Директно предоставяне на безвъзмездна финансова помощ“ от ЗУСЕФСУ и съответно Глава втора. Правила за оценяване на проектни предложения, Раздел I. Оценяване на проектни предложения чрез подбор и раздел ІІ „Оценяване при директно предоставяне“ от ПМС № 23 от 13.02.2023 г.:</w:t>
      </w:r>
    </w:p>
    <w:p w:rsidR="007E360C" w:rsidRPr="00496FD7" w:rsidRDefault="007E360C" w:rsidP="00E80472">
      <w:pPr>
        <w:numPr>
          <w:ilvl w:val="0"/>
          <w:numId w:val="103"/>
        </w:numPr>
        <w:tabs>
          <w:tab w:val="clear" w:pos="1425"/>
          <w:tab w:val="num" w:pos="993"/>
        </w:tabs>
        <w:ind w:left="0" w:firstLine="851"/>
        <w:rPr>
          <w:szCs w:val="24"/>
          <w:lang w:eastAsia="bg-BG"/>
        </w:rPr>
      </w:pPr>
      <w:r w:rsidRPr="00496FD7">
        <w:rPr>
          <w:szCs w:val="24"/>
          <w:lang w:eastAsia="bg-BG"/>
        </w:rPr>
        <w:t xml:space="preserve">подготовка и одобрение от УО на Насоки по </w:t>
      </w:r>
      <w:r w:rsidR="00E61CEC" w:rsidRPr="00496FD7">
        <w:rPr>
          <w:szCs w:val="24"/>
          <w:lang w:eastAsia="bg-BG"/>
        </w:rPr>
        <w:t>процедурата</w:t>
      </w:r>
      <w:r w:rsidRPr="00496FD7">
        <w:rPr>
          <w:szCs w:val="24"/>
          <w:lang w:eastAsia="bg-BG"/>
        </w:rPr>
        <w:t xml:space="preserve"> (съгласно чл. 5, ал. 1 на ПМС 23 от 13.02.2023 г.), които при процедура се предоставят на конкретните бенефициенти заедно с покана за представяне на проектно предложение и се публикуват на интернет страницата на Единния информационен портал </w:t>
      </w:r>
      <w:hyperlink r:id="rId25" w:history="1">
        <w:r w:rsidRPr="00496FD7">
          <w:rPr>
            <w:color w:val="0000FF"/>
            <w:szCs w:val="24"/>
            <w:u w:val="single"/>
            <w:lang w:eastAsia="bg-BG"/>
          </w:rPr>
          <w:t>www.eufunds.bg</w:t>
        </w:r>
      </w:hyperlink>
      <w:r w:rsidRPr="00496FD7">
        <w:rPr>
          <w:szCs w:val="24"/>
          <w:lang w:eastAsia="bg-BG"/>
        </w:rPr>
        <w:t xml:space="preserve">; </w:t>
      </w:r>
    </w:p>
    <w:p w:rsidR="007E360C" w:rsidRPr="00496FD7" w:rsidRDefault="007E360C" w:rsidP="00E80472">
      <w:pPr>
        <w:numPr>
          <w:ilvl w:val="0"/>
          <w:numId w:val="103"/>
        </w:numPr>
        <w:tabs>
          <w:tab w:val="clear" w:pos="1425"/>
          <w:tab w:val="num" w:pos="993"/>
        </w:tabs>
        <w:ind w:left="0" w:firstLine="851"/>
        <w:rPr>
          <w:szCs w:val="24"/>
          <w:lang w:eastAsia="bg-BG"/>
        </w:rPr>
      </w:pPr>
      <w:r w:rsidRPr="00496FD7">
        <w:rPr>
          <w:szCs w:val="24"/>
          <w:lang w:eastAsia="bg-BG"/>
        </w:rPr>
        <w:t xml:space="preserve">представяне на проектни предложения от конкретните бенефициенти в съответствие с </w:t>
      </w:r>
      <w:r w:rsidR="007C4548" w:rsidRPr="00496FD7">
        <w:rPr>
          <w:szCs w:val="24"/>
          <w:lang w:eastAsia="bg-BG"/>
        </w:rPr>
        <w:t>Насоките по процедурата</w:t>
      </w:r>
      <w:r w:rsidRPr="00496FD7">
        <w:rPr>
          <w:szCs w:val="24"/>
          <w:lang w:eastAsia="bg-BG"/>
        </w:rPr>
        <w:t xml:space="preserve">; </w:t>
      </w:r>
    </w:p>
    <w:p w:rsidR="007E360C" w:rsidRPr="00496FD7" w:rsidRDefault="007E360C" w:rsidP="00E80472">
      <w:pPr>
        <w:numPr>
          <w:ilvl w:val="0"/>
          <w:numId w:val="103"/>
        </w:numPr>
        <w:tabs>
          <w:tab w:val="clear" w:pos="1425"/>
          <w:tab w:val="num" w:pos="993"/>
        </w:tabs>
        <w:ind w:left="0" w:firstLine="851"/>
        <w:rPr>
          <w:szCs w:val="24"/>
          <w:lang w:eastAsia="bg-BG"/>
        </w:rPr>
      </w:pPr>
      <w:r w:rsidRPr="00496FD7">
        <w:rPr>
          <w:szCs w:val="24"/>
          <w:lang w:eastAsia="bg-BG"/>
        </w:rPr>
        <w:t xml:space="preserve">оценка на получените проектни предложения за финансиране по ПТС; </w:t>
      </w:r>
    </w:p>
    <w:p w:rsidR="007E360C" w:rsidRPr="00496FD7" w:rsidRDefault="007E360C" w:rsidP="00E80472">
      <w:pPr>
        <w:numPr>
          <w:ilvl w:val="0"/>
          <w:numId w:val="103"/>
        </w:numPr>
        <w:tabs>
          <w:tab w:val="clear" w:pos="1425"/>
          <w:tab w:val="num" w:pos="993"/>
        </w:tabs>
        <w:ind w:left="0" w:firstLine="851"/>
        <w:rPr>
          <w:szCs w:val="24"/>
          <w:lang w:eastAsia="bg-BG"/>
        </w:rPr>
      </w:pPr>
      <w:r w:rsidRPr="00496FD7">
        <w:rPr>
          <w:szCs w:val="24"/>
          <w:lang w:eastAsia="bg-BG"/>
        </w:rPr>
        <w:t xml:space="preserve">изготвяне на оценителен доклад, съдържащ решение на ръководителя на УО за предоставяне на БФП; </w:t>
      </w:r>
    </w:p>
    <w:p w:rsidR="007E360C" w:rsidRPr="00496FD7" w:rsidRDefault="007E360C" w:rsidP="00E80472">
      <w:pPr>
        <w:numPr>
          <w:ilvl w:val="0"/>
          <w:numId w:val="103"/>
        </w:numPr>
        <w:tabs>
          <w:tab w:val="clear" w:pos="1425"/>
          <w:tab w:val="num" w:pos="1134"/>
        </w:tabs>
        <w:ind w:left="0" w:firstLine="851"/>
        <w:rPr>
          <w:szCs w:val="24"/>
          <w:lang w:eastAsia="bg-BG"/>
        </w:rPr>
      </w:pPr>
      <w:r w:rsidRPr="00496FD7">
        <w:rPr>
          <w:szCs w:val="24"/>
          <w:lang w:eastAsia="bg-BG"/>
        </w:rPr>
        <w:t xml:space="preserve">сключване на административен договор, съгласно чл. 45, ал. 2 от ЗУСЕФСУ или издаване на заповед за предоставяне на БФП. </w:t>
      </w:r>
    </w:p>
    <w:p w:rsidR="007E360C" w:rsidRPr="00496FD7" w:rsidRDefault="007E360C" w:rsidP="007E360C">
      <w:pPr>
        <w:tabs>
          <w:tab w:val="left" w:pos="1134"/>
        </w:tabs>
        <w:spacing w:after="120"/>
        <w:ind w:left="851"/>
        <w:rPr>
          <w:szCs w:val="24"/>
          <w:lang w:eastAsia="bg-BG"/>
        </w:rPr>
      </w:pPr>
    </w:p>
    <w:p w:rsidR="007E360C" w:rsidRPr="00496FD7" w:rsidRDefault="007E360C" w:rsidP="007E360C">
      <w:pPr>
        <w:pStyle w:val="Style2"/>
        <w:rPr>
          <w:lang w:val="bg-BG" w:eastAsia="bg-BG"/>
        </w:rPr>
      </w:pPr>
      <w:bookmarkStart w:id="61" w:name="_Toc479775627"/>
      <w:bookmarkStart w:id="62" w:name="_Toc140150207"/>
      <w:bookmarkStart w:id="63" w:name="_Toc152769887"/>
      <w:r w:rsidRPr="00496FD7">
        <w:rPr>
          <w:lang w:val="bg-BG" w:eastAsia="bg-BG"/>
        </w:rPr>
        <w:t>Принцип на схема на процедурите за кандидатстване, оценка и предоставяне на безвъзмездна финансова помощ за изпълнение на проекти</w:t>
      </w:r>
      <w:bookmarkEnd w:id="61"/>
      <w:bookmarkEnd w:id="62"/>
      <w:bookmarkEnd w:id="63"/>
    </w:p>
    <w:p w:rsidR="007E360C" w:rsidRPr="00496FD7" w:rsidRDefault="007E360C" w:rsidP="007E360C">
      <w:r w:rsidRPr="00496FD7">
        <w:t xml:space="preserve">Принципната схема на процедурата за оценка на проектни предложения показва обобщено как протича оценката на проектните предложения като се отчита вида и типа на проектното предложение: бюджетна линия, проект за техническа помощ, проектно предложение за инвестиционен проект.  </w:t>
      </w:r>
    </w:p>
    <w:p w:rsidR="007E360C" w:rsidRPr="00496FD7" w:rsidRDefault="007E360C" w:rsidP="007E360C">
      <w:pPr>
        <w:sectPr w:rsidR="007E360C" w:rsidRPr="00496FD7" w:rsidSect="007E360C">
          <w:headerReference w:type="default" r:id="rId26"/>
          <w:footerReference w:type="even" r:id="rId27"/>
          <w:headerReference w:type="first" r:id="rId28"/>
          <w:pgSz w:w="11906" w:h="16838" w:code="9"/>
          <w:pgMar w:top="1134" w:right="851" w:bottom="1276" w:left="1418" w:header="507" w:footer="241" w:gutter="0"/>
          <w:cols w:space="708"/>
          <w:titlePg/>
          <w:docGrid w:linePitch="78"/>
        </w:sectPr>
      </w:pPr>
    </w:p>
    <w:p w:rsidR="007E360C" w:rsidRPr="00496FD7" w:rsidRDefault="00E727E1" w:rsidP="007E360C">
      <w:pPr>
        <w:ind w:firstLine="0"/>
        <w:rPr>
          <w:sz w:val="20"/>
          <w:lang w:eastAsia="bg-BG"/>
        </w:rPr>
        <w:sectPr w:rsidR="007E360C" w:rsidRPr="00496FD7" w:rsidSect="007E360C">
          <w:pgSz w:w="16838" w:h="11906" w:orient="landscape" w:code="9"/>
          <w:pgMar w:top="567" w:right="567" w:bottom="567" w:left="567" w:header="505" w:footer="153" w:gutter="0"/>
          <w:cols w:space="708"/>
          <w:titlePg/>
          <w:docGrid w:linePitch="78"/>
        </w:sectPr>
      </w:pPr>
      <w:r>
        <w:rPr>
          <w:noProof/>
          <w:lang w:val="en-US" w:eastAsia="en-US"/>
        </w:rPr>
        <w:lastRenderedPageBreak/>
        <mc:AlternateContent>
          <mc:Choice Requires="wps">
            <w:drawing>
              <wp:anchor distT="0" distB="0" distL="114300" distR="114300" simplePos="0" relativeHeight="251663360" behindDoc="0" locked="0" layoutInCell="1" allowOverlap="1" wp14:anchorId="47781EF2" wp14:editId="6647F78A">
                <wp:simplePos x="0" y="0"/>
                <wp:positionH relativeFrom="column">
                  <wp:posOffset>725805</wp:posOffset>
                </wp:positionH>
                <wp:positionV relativeFrom="paragraph">
                  <wp:posOffset>144780</wp:posOffset>
                </wp:positionV>
                <wp:extent cx="1207119" cy="757432"/>
                <wp:effectExtent l="0" t="0" r="0" b="0"/>
                <wp:wrapNone/>
                <wp:docPr id="1" name="AutoShap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7119" cy="757432"/>
                        </a:xfrm>
                        <a:prstGeom prst="roundRect">
                          <a:avLst>
                            <a:gd name="adj" fmla="val 16667"/>
                          </a:avLst>
                        </a:prstGeom>
                        <a:solidFill>
                          <a:srgbClr val="FFFFFF"/>
                        </a:solidFill>
                        <a:ln w="12700" algn="ctr">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E727E1">
                            <w:pPr>
                              <w:ind w:firstLine="0"/>
                              <w:jc w:val="center"/>
                              <w:rPr>
                                <w:sz w:val="20"/>
                              </w:rPr>
                            </w:pPr>
                            <w:r w:rsidRPr="004E0B9F">
                              <w:rPr>
                                <w:sz w:val="20"/>
                              </w:rPr>
                              <w:t>Регистрационен номер в ИСУН2020</w:t>
                            </w:r>
                          </w:p>
                        </w:txbxContent>
                      </wps:txbx>
                      <wps:bodyPr rot="0" vert="horz" wrap="square" lIns="91440" tIns="45720" rIns="91440" bIns="45720" anchor="t" anchorCtr="0" upright="1">
                        <a:noAutofit/>
                      </wps:bodyPr>
                    </wps:wsp>
                  </a:graphicData>
                </a:graphic>
              </wp:anchor>
            </w:drawing>
          </mc:Choice>
          <mc:Fallback>
            <w:pict>
              <v:roundrect w14:anchorId="47781EF2" id="AutoShape 72" o:spid="_x0000_s1026" style="position:absolute;left:0;text-align:left;margin-left:57.15pt;margin-top:11.4pt;width:95.05pt;height:59.65pt;z-index:251663360;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" strokecolor="#4f81bd" strokeweight="1pt">
                <v:stroke dashstyle="dash"/>
                <v:shadow color="#868686"/>
                <v:textbox>
                  <w:txbxContent>
                    <w:p w:rsidR="00CD7E74" w:rsidRPr="004E0B9F" w:rsidRDefault="00CD7E74" w:rsidP="00E727E1">
                      <w:pPr>
                        <w:ind w:firstLine="0"/>
                        <w:jc w:val="center"/>
                        <w:rPr>
                          <w:sz w:val="20"/>
                        </w:rPr>
                      </w:pPr>
                      <w:r w:rsidRPr="004E0B9F">
                        <w:rPr>
                          <w:sz w:val="20"/>
                        </w:rPr>
                        <w:t>Регистрационен номер в ИСУН2020</w:t>
                      </w:r>
                    </w:p>
                  </w:txbxContent>
                </v:textbox>
              </v:roundrect>
            </w:pict>
          </mc:Fallback>
        </mc:AlternateContent>
      </w:r>
      <w:r w:rsidR="00F97BE5" w:rsidRPr="00496FD7">
        <w:rPr>
          <w:noProof/>
          <w:lang w:val="en-US" w:eastAsia="en-US"/>
        </w:rPr>
        <mc:AlternateContent>
          <mc:Choice Requires="wps">
            <w:drawing>
              <wp:anchor distT="0" distB="0" distL="114300" distR="114300" simplePos="0" relativeHeight="251661312" behindDoc="0" locked="0" layoutInCell="1" allowOverlap="1" wp14:anchorId="5134537B" wp14:editId="5F738806">
                <wp:simplePos x="0" y="0"/>
                <wp:positionH relativeFrom="column">
                  <wp:posOffset>1859280</wp:posOffset>
                </wp:positionH>
                <wp:positionV relativeFrom="paragraph">
                  <wp:posOffset>630555</wp:posOffset>
                </wp:positionV>
                <wp:extent cx="2013175" cy="384680"/>
                <wp:effectExtent l="0" t="0" r="0" b="0"/>
                <wp:wrapNone/>
                <wp:docPr id="2" name="AutoShap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3175" cy="384680"/>
                        </a:xfrm>
                        <a:prstGeom prst="roundRect">
                          <a:avLst>
                            <a:gd name="adj" fmla="val 16667"/>
                          </a:avLst>
                        </a:prstGeom>
                        <a:solidFill>
                          <a:srgbClr val="FFFFFF"/>
                        </a:solidFill>
                        <a:ln w="12700">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F97BE5">
                            <w:pPr>
                              <w:ind w:firstLine="0"/>
                              <w:jc w:val="center"/>
                              <w:rPr>
                                <w:sz w:val="20"/>
                              </w:rPr>
                            </w:pPr>
                            <w:r w:rsidRPr="004E0B9F">
                              <w:rPr>
                                <w:sz w:val="20"/>
                              </w:rPr>
                              <w:t xml:space="preserve">ФК за </w:t>
                            </w:r>
                            <w:r>
                              <w:rPr>
                                <w:sz w:val="20"/>
                              </w:rPr>
                              <w:t>инвестиционен</w:t>
                            </w:r>
                            <w:r w:rsidRPr="004E0B9F">
                              <w:rPr>
                                <w:sz w:val="20"/>
                              </w:rPr>
                              <w:t xml:space="preserve"> проект</w:t>
                            </w:r>
                          </w:p>
                        </w:txbxContent>
                      </wps:txbx>
                      <wps:bodyPr rot="0" vert="horz" wrap="square" lIns="91440" tIns="45720" rIns="91440" bIns="45720" anchor="t" anchorCtr="0" upright="1">
                        <a:noAutofit/>
                      </wps:bodyPr>
                    </wps:wsp>
                  </a:graphicData>
                </a:graphic>
              </wp:anchor>
            </w:drawing>
          </mc:Choice>
          <mc:Fallback>
            <w:pict>
              <v:roundrect w14:anchorId="5134537B" id="AutoShape 65" o:spid="_x0000_s1027" style="position:absolute;left:0;text-align:left;margin-left:146.4pt;margin-top:49.65pt;width:158.5pt;height:30.3pt;z-index:251661312;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" strokecolor="#4f81bd" strokeweight="1pt">
                <v:stroke dashstyle="dash"/>
                <v:shadow color="#868686"/>
                <v:textbox>
                  <w:txbxContent>
                    <w:p w:rsidR="00CD7E74" w:rsidRPr="004E0B9F" w:rsidRDefault="00CD7E74" w:rsidP="00F97BE5">
                      <w:pPr>
                        <w:ind w:firstLine="0"/>
                        <w:jc w:val="center"/>
                        <w:rPr>
                          <w:sz w:val="20"/>
                        </w:rPr>
                      </w:pPr>
                      <w:r w:rsidRPr="004E0B9F">
                        <w:rPr>
                          <w:sz w:val="20"/>
                        </w:rPr>
                        <w:t xml:space="preserve">ФК за </w:t>
                      </w:r>
                      <w:r>
                        <w:rPr>
                          <w:sz w:val="20"/>
                        </w:rPr>
                        <w:t>инвестиционен</w:t>
                      </w:r>
                      <w:r w:rsidRPr="004E0B9F">
                        <w:rPr>
                          <w:sz w:val="20"/>
                        </w:rPr>
                        <w:t xml:space="preserve"> проект</w:t>
                      </w:r>
                    </w:p>
                  </w:txbxContent>
                </v:textbox>
              </v:roundrect>
            </w:pict>
          </mc:Fallback>
        </mc:AlternateContent>
      </w:r>
      <w:r>
        <w:rPr>
          <w:noProof/>
          <w:sz w:val="20"/>
          <w:lang w:val="en-US" w:eastAsia="en-US"/>
        </w:rPr>
        <mc:AlternateContent>
          <mc:Choice Requires="wpg">
            <w:drawing>
              <wp:inline distT="0" distB="0" distL="0" distR="0">
                <wp:extent cx="10125021" cy="5495902"/>
                <wp:effectExtent l="0" t="0" r="10160" b="48260"/>
                <wp:docPr id="2021" name="Group 2021"/>
                <wp:cNvGraphicFramePr/>
                <a:graphic xmlns:a="http://schemas.openxmlformats.org/drawingml/2006/main">
                  <a:graphicData uri="http://schemas.microsoft.com/office/word/2010/wordprocessingGroup">
                    <wpg:wgp>
                      <wpg:cNvGrpSpPr/>
                      <wpg:grpSpPr>
                        <a:xfrm>
                          <a:off x="0" y="0"/>
                          <a:ext cx="10125021" cy="5495902"/>
                          <a:chOff x="-171090" y="-112592"/>
                          <a:chExt cx="10105985" cy="6060236"/>
                        </a:xfrm>
                      </wpg:grpSpPr>
                      <wps:wsp>
                        <wps:cNvPr id="2022" name="AutoShape 72"/>
                        <wps:cNvSpPr>
                          <a:spLocks noChangeArrowheads="1"/>
                        </wps:cNvSpPr>
                        <wps:spPr bwMode="auto">
                          <a:xfrm>
                            <a:off x="8454335" y="199558"/>
                            <a:ext cx="1204885" cy="835245"/>
                          </a:xfrm>
                          <a:prstGeom prst="roundRect">
                            <a:avLst>
                              <a:gd name="adj" fmla="val 16667"/>
                            </a:avLst>
                          </a:prstGeom>
                          <a:solidFill>
                            <a:srgbClr val="FFFFFF"/>
                          </a:solidFill>
                          <a:ln w="12700" algn="ctr">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7E360C">
                              <w:pPr>
                                <w:ind w:firstLine="0"/>
                                <w:jc w:val="center"/>
                                <w:rPr>
                                  <w:sz w:val="20"/>
                                </w:rPr>
                              </w:pPr>
                              <w:r w:rsidRPr="004E0B9F">
                                <w:rPr>
                                  <w:sz w:val="20"/>
                                </w:rPr>
                                <w:t>Регистрационен номер в ИСУН2020</w:t>
                              </w:r>
                            </w:p>
                          </w:txbxContent>
                        </wps:txbx>
                        <wps:bodyPr rot="0" vert="horz" wrap="square" lIns="91440" tIns="45720" rIns="91440" bIns="45720" anchor="t" anchorCtr="0" upright="1">
                          <a:noAutofit/>
                        </wps:bodyPr>
                      </wps:wsp>
                      <wpg:grpSp>
                        <wpg:cNvPr id="2023" name="Group 2023"/>
                        <wpg:cNvGrpSpPr/>
                        <wpg:grpSpPr>
                          <a:xfrm>
                            <a:off x="-171090" y="-112592"/>
                            <a:ext cx="10105985" cy="6060236"/>
                            <a:chOff x="-171090" y="-112592"/>
                            <a:chExt cx="10105985" cy="6060236"/>
                          </a:xfrm>
                        </wpg:grpSpPr>
                        <wpg:grpSp>
                          <wpg:cNvPr id="2024" name="Group 2024"/>
                          <wpg:cNvGrpSpPr/>
                          <wpg:grpSpPr>
                            <a:xfrm>
                              <a:off x="-171090" y="-112592"/>
                              <a:ext cx="10105985" cy="6060236"/>
                              <a:chOff x="-171090" y="-112592"/>
                              <a:chExt cx="10105985" cy="6060236"/>
                            </a:xfrm>
                          </wpg:grpSpPr>
                          <wps:wsp>
                            <wps:cNvPr id="2025" name="AutoShape 259"/>
                            <wps:cNvSpPr>
                              <a:spLocks noChangeArrowheads="1"/>
                            </wps:cNvSpPr>
                            <wps:spPr bwMode="auto">
                              <a:xfrm>
                                <a:off x="7098057" y="3033370"/>
                                <a:ext cx="2683673" cy="495709"/>
                              </a:xfrm>
                              <a:prstGeom prst="roundRect">
                                <a:avLst>
                                  <a:gd name="adj" fmla="val 16667"/>
                                </a:avLst>
                              </a:prstGeom>
                              <a:solidFill>
                                <a:srgbClr val="FFFFFF"/>
                              </a:solidFill>
                              <a:ln w="12700">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7E360C">
                                  <w:pPr>
                                    <w:ind w:firstLine="0"/>
                                    <w:jc w:val="center"/>
                                    <w:rPr>
                                      <w:spacing w:val="10"/>
                                      <w:sz w:val="20"/>
                                    </w:rPr>
                                  </w:pPr>
                                  <w:r w:rsidRPr="004E0B9F">
                                    <w:rPr>
                                      <w:spacing w:val="10"/>
                                      <w:sz w:val="20"/>
                                    </w:rPr>
                                    <w:t xml:space="preserve">Оценителни таблици на </w:t>
                                  </w:r>
                                </w:p>
                                <w:p w:rsidR="00CD7E74" w:rsidRPr="004E0B9F" w:rsidRDefault="00CD7E74" w:rsidP="007E360C">
                                  <w:pPr>
                                    <w:ind w:firstLine="0"/>
                                    <w:jc w:val="center"/>
                                    <w:rPr>
                                      <w:spacing w:val="10"/>
                                      <w:sz w:val="20"/>
                                    </w:rPr>
                                  </w:pPr>
                                  <w:r w:rsidRPr="004E0B9F">
                                    <w:rPr>
                                      <w:spacing w:val="10"/>
                                      <w:sz w:val="20"/>
                                    </w:rPr>
                                    <w:t>членовете на  оценителна комисия</w:t>
                                  </w:r>
                                </w:p>
                              </w:txbxContent>
                            </wps:txbx>
                            <wps:bodyPr rot="0" vert="horz" wrap="square" lIns="91440" tIns="45720" rIns="91440" bIns="45720" anchor="t" anchorCtr="0" upright="1">
                              <a:noAutofit/>
                            </wps:bodyPr>
                          </wps:wsp>
                          <wpg:grpSp>
                            <wpg:cNvPr id="2026" name="Group 2026"/>
                            <wpg:cNvGrpSpPr/>
                            <wpg:grpSpPr>
                              <a:xfrm>
                                <a:off x="-171090" y="-112592"/>
                                <a:ext cx="10105985" cy="6060236"/>
                                <a:chOff x="-162538" y="-112085"/>
                                <a:chExt cx="9600812" cy="6032962"/>
                              </a:xfrm>
                            </wpg:grpSpPr>
                            <wps:wsp>
                              <wps:cNvPr id="653" name="Text Box 183"/>
                              <wps:cNvSpPr txBox="1">
                                <a:spLocks noChangeArrowheads="1"/>
                              </wps:cNvSpPr>
                              <wps:spPr bwMode="auto">
                                <a:xfrm>
                                  <a:off x="3178855" y="5527750"/>
                                  <a:ext cx="409575" cy="290830"/>
                                </a:xfrm>
                                <a:prstGeom prst="rect">
                                  <a:avLst/>
                                </a:prstGeom>
                                <a:noFill/>
                                <a:ln w="635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CD7E74" w:rsidRPr="004E0B9F" w:rsidRDefault="00CD7E74" w:rsidP="007E360C">
                                    <w:pPr>
                                      <w:ind w:firstLine="0"/>
                                      <w:jc w:val="center"/>
                                      <w:rPr>
                                        <w:sz w:val="20"/>
                                      </w:rPr>
                                    </w:pPr>
                                    <w:r w:rsidRPr="004E0B9F">
                                      <w:rPr>
                                        <w:sz w:val="20"/>
                                      </w:rPr>
                                      <w:t>да</w:t>
                                    </w:r>
                                  </w:p>
                                </w:txbxContent>
                              </wps:txbx>
                              <wps:bodyPr rot="0" vert="horz" wrap="square" lIns="91440" tIns="45720" rIns="91440" bIns="45720" anchor="t" anchorCtr="0" upright="1">
                                <a:noAutofit/>
                              </wps:bodyPr>
                            </wps:wsp>
                            <wpg:grpSp>
                              <wpg:cNvPr id="654" name="Group 424"/>
                              <wpg:cNvGrpSpPr/>
                              <wpg:grpSpPr>
                                <a:xfrm>
                                  <a:off x="-162538" y="-112085"/>
                                  <a:ext cx="9600812" cy="6032962"/>
                                  <a:chOff x="-162538" y="-112085"/>
                                  <a:chExt cx="9600812" cy="6032962"/>
                                </a:xfrm>
                              </wpg:grpSpPr>
                              <wps:wsp>
                                <wps:cNvPr id="655" name="Text Box 183"/>
                                <wps:cNvSpPr txBox="1">
                                  <a:spLocks noChangeArrowheads="1"/>
                                </wps:cNvSpPr>
                                <wps:spPr bwMode="auto">
                                  <a:xfrm>
                                    <a:off x="2313784" y="3821608"/>
                                    <a:ext cx="409596" cy="291380"/>
                                  </a:xfrm>
                                  <a:prstGeom prst="rect">
                                    <a:avLst/>
                                  </a:prstGeom>
                                  <a:noFill/>
                                  <a:ln w="635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CD7E74" w:rsidRPr="004E0B9F" w:rsidRDefault="00CD7E74" w:rsidP="007E360C">
                                      <w:pPr>
                                        <w:ind w:firstLine="0"/>
                                        <w:jc w:val="center"/>
                                        <w:rPr>
                                          <w:sz w:val="20"/>
                                        </w:rPr>
                                      </w:pPr>
                                      <w:r w:rsidRPr="004E0B9F">
                                        <w:rPr>
                                          <w:sz w:val="20"/>
                                        </w:rPr>
                                        <w:t>да</w:t>
                                      </w:r>
                                    </w:p>
                                  </w:txbxContent>
                                </wps:txbx>
                                <wps:bodyPr rot="0" vert="horz" wrap="square" lIns="91440" tIns="45720" rIns="91440" bIns="45720" anchor="t" anchorCtr="0" upright="1">
                                  <a:noAutofit/>
                                </wps:bodyPr>
                              </wps:wsp>
                              <wpg:grpSp>
                                <wpg:cNvPr id="656" name="Group 430"/>
                                <wpg:cNvGrpSpPr/>
                                <wpg:grpSpPr>
                                  <a:xfrm>
                                    <a:off x="-162538" y="-112085"/>
                                    <a:ext cx="9600812" cy="6032962"/>
                                    <a:chOff x="-162538" y="-112085"/>
                                    <a:chExt cx="9600812" cy="6032962"/>
                                  </a:xfrm>
                                </wpg:grpSpPr>
                                <wpg:grpSp>
                                  <wpg:cNvPr id="657" name="Group 431"/>
                                  <wpg:cNvGrpSpPr/>
                                  <wpg:grpSpPr>
                                    <a:xfrm>
                                      <a:off x="1080794" y="1391701"/>
                                      <a:ext cx="2528782" cy="986042"/>
                                      <a:chOff x="-2140871" y="168956"/>
                                      <a:chExt cx="2528782" cy="986042"/>
                                    </a:xfrm>
                                  </wpg:grpSpPr>
                                  <wps:wsp>
                                    <wps:cNvPr id="660" name="Text Box 180"/>
                                    <wps:cNvSpPr txBox="1">
                                      <a:spLocks noChangeArrowheads="1"/>
                                    </wps:cNvSpPr>
                                    <wps:spPr bwMode="auto">
                                      <a:xfrm>
                                        <a:off x="-2140871" y="168956"/>
                                        <a:ext cx="334645" cy="252095"/>
                                      </a:xfrm>
                                      <a:prstGeom prst="rect">
                                        <a:avLst/>
                                      </a:prstGeom>
                                      <a:noFill/>
                                      <a:ln w="635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CD7E74" w:rsidRPr="004E0B9F" w:rsidRDefault="00CD7E74" w:rsidP="007E360C">
                                          <w:pPr>
                                            <w:ind w:firstLine="0"/>
                                            <w:jc w:val="center"/>
                                            <w:rPr>
                                              <w:sz w:val="20"/>
                                            </w:rPr>
                                          </w:pPr>
                                          <w:r w:rsidRPr="004E0B9F">
                                            <w:rPr>
                                              <w:sz w:val="20"/>
                                            </w:rPr>
                                            <w:t>да</w:t>
                                          </w:r>
                                        </w:p>
                                      </w:txbxContent>
                                    </wps:txbx>
                                    <wps:bodyPr rot="0" vert="horz" wrap="square" lIns="91440" tIns="45720" rIns="91440" bIns="45720" anchor="t" anchorCtr="0" upright="1">
                                      <a:noAutofit/>
                                    </wps:bodyPr>
                                  </wps:wsp>
                                  <wpg:grpSp>
                                    <wpg:cNvPr id="661" name="Group 1000"/>
                                    <wpg:cNvGrpSpPr>
                                      <a:grpSpLocks/>
                                    </wpg:cNvGrpSpPr>
                                    <wpg:grpSpPr bwMode="auto">
                                      <a:xfrm>
                                        <a:off x="0" y="337404"/>
                                        <a:ext cx="387911" cy="817594"/>
                                        <a:chOff x="0" y="-342210"/>
                                        <a:chExt cx="387911" cy="818142"/>
                                      </a:xfrm>
                                    </wpg:grpSpPr>
                                    <wps:wsp>
                                      <wps:cNvPr id="662" name="Text Box 185"/>
                                      <wps:cNvSpPr txBox="1">
                                        <a:spLocks noChangeArrowheads="1"/>
                                      </wps:cNvSpPr>
                                      <wps:spPr bwMode="auto">
                                        <a:xfrm>
                                          <a:off x="53266" y="-342210"/>
                                          <a:ext cx="334645" cy="251460"/>
                                        </a:xfrm>
                                        <a:prstGeom prst="rect">
                                          <a:avLst/>
                                        </a:prstGeom>
                                        <a:noFill/>
                                        <a:ln w="635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CD7E74" w:rsidRPr="004E0B9F" w:rsidRDefault="00CD7E74" w:rsidP="007E360C">
                                            <w:pPr>
                                              <w:ind w:firstLine="0"/>
                                              <w:jc w:val="center"/>
                                              <w:rPr>
                                                <w:sz w:val="20"/>
                                              </w:rPr>
                                            </w:pPr>
                                            <w:r w:rsidRPr="004E0B9F">
                                              <w:rPr>
                                                <w:sz w:val="20"/>
                                              </w:rPr>
                                              <w:t>не</w:t>
                                            </w:r>
                                          </w:p>
                                        </w:txbxContent>
                                      </wps:txbx>
                                      <wps:bodyPr rot="0" vert="horz" wrap="square" lIns="91440" tIns="45720" rIns="91440" bIns="45720" anchor="t" anchorCtr="0" upright="1">
                                        <a:noAutofit/>
                                      </wps:bodyPr>
                                    </wps:wsp>
                                    <wps:wsp>
                                      <wps:cNvPr id="663" name="AutoShape 251"/>
                                      <wps:cNvSpPr>
                                        <a:spLocks noChangeArrowheads="1"/>
                                      </wps:cNvSpPr>
                                      <wps:spPr bwMode="auto">
                                        <a:xfrm rot="16200000">
                                          <a:off x="222224" y="-19893"/>
                                          <a:ext cx="50220" cy="89985"/>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664" name="AutoShape 253"/>
                                      <wps:cNvSpPr>
                                        <a:spLocks noChangeArrowheads="1"/>
                                      </wps:cNvSpPr>
                                      <wps:spPr bwMode="auto">
                                        <a:xfrm rot="-7500000">
                                          <a:off x="-31115" y="377507"/>
                                          <a:ext cx="129540" cy="67310"/>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g:grpSp>
                                </wpg:grpSp>
                                <wpg:grpSp>
                                  <wpg:cNvPr id="665" name="Group 1022"/>
                                  <wpg:cNvGrpSpPr>
                                    <a:grpSpLocks/>
                                  </wpg:cNvGrpSpPr>
                                  <wpg:grpSpPr bwMode="auto">
                                    <a:xfrm>
                                      <a:off x="-162538" y="-112085"/>
                                      <a:ext cx="9600812" cy="6032962"/>
                                      <a:chOff x="-1675" y="-1114"/>
                                      <a:chExt cx="98939" cy="59961"/>
                                    </a:xfrm>
                                  </wpg:grpSpPr>
                                  <wps:wsp>
                                    <wps:cNvPr id="666" name="AutoShape 65"/>
                                    <wps:cNvSpPr>
                                      <a:spLocks noChangeArrowheads="1"/>
                                    </wps:cNvSpPr>
                                    <wps:spPr bwMode="auto">
                                      <a:xfrm>
                                        <a:off x="-1675" y="44092"/>
                                        <a:ext cx="16091" cy="7647"/>
                                      </a:xfrm>
                                      <a:prstGeom prst="roundRect">
                                        <a:avLst>
                                          <a:gd name="adj" fmla="val 16667"/>
                                        </a:avLst>
                                      </a:prstGeom>
                                      <a:solidFill>
                                        <a:srgbClr val="FFFFFF"/>
                                      </a:solidFill>
                                      <a:ln w="12700">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7E360C">
                                          <w:pPr>
                                            <w:ind w:firstLine="0"/>
                                            <w:jc w:val="center"/>
                                            <w:rPr>
                                              <w:sz w:val="20"/>
                                            </w:rPr>
                                          </w:pPr>
                                          <w:r w:rsidRPr="004E0B9F">
                                            <w:rPr>
                                              <w:sz w:val="20"/>
                                            </w:rPr>
                                            <w:t xml:space="preserve">Чрез ИСУН 2020 </w:t>
                                          </w:r>
                                        </w:p>
                                      </w:txbxContent>
                                    </wps:txbx>
                                    <wps:bodyPr rot="0" vert="horz" wrap="square" lIns="91440" tIns="45720" rIns="91440" bIns="45720" anchor="t" anchorCtr="0" upright="1">
                                      <a:noAutofit/>
                                    </wps:bodyPr>
                                  </wps:wsp>
                                  <wpg:grpSp>
                                    <wpg:cNvPr id="667" name="Group 173"/>
                                    <wpg:cNvGrpSpPr>
                                      <a:grpSpLocks/>
                                    </wpg:cNvGrpSpPr>
                                    <wpg:grpSpPr bwMode="auto">
                                      <a:xfrm>
                                        <a:off x="4654" y="33299"/>
                                        <a:ext cx="30900" cy="14033"/>
                                        <a:chOff x="-6580" y="-3531"/>
                                        <a:chExt cx="22438" cy="20795"/>
                                      </a:xfrm>
                                    </wpg:grpSpPr>
                                    <wps:wsp>
                                      <wps:cNvPr id="668" name="Text Box 4"/>
                                      <wps:cNvSpPr txBox="1">
                                        <a:spLocks noChangeArrowheads="1"/>
                                      </wps:cNvSpPr>
                                      <wps:spPr bwMode="auto">
                                        <a:xfrm>
                                          <a:off x="-6580" y="-3531"/>
                                          <a:ext cx="22438" cy="7454"/>
                                        </a:xfrm>
                                        <a:prstGeom prst="rect">
                                          <a:avLst/>
                                        </a:prstGeom>
                                        <a:solidFill>
                                          <a:srgbClr val="FFFFFF"/>
                                        </a:solidFill>
                                        <a:ln w="6350">
                                          <a:solidFill>
                                            <a:srgbClr val="FFFFFF"/>
                                          </a:solidFill>
                                          <a:miter lim="800000"/>
                                          <a:headEnd/>
                                          <a:tailEnd/>
                                        </a:ln>
                                      </wps:spPr>
                                      <wps:txbx>
                                        <w:txbxContent>
                                          <w:p w:rsidR="00CD7E74" w:rsidRPr="004E0B9F" w:rsidRDefault="00CD7E74" w:rsidP="007E360C">
                                            <w:pPr>
                                              <w:ind w:firstLine="0"/>
                                              <w:jc w:val="center"/>
                                              <w:rPr>
                                                <w:sz w:val="20"/>
                                              </w:rPr>
                                            </w:pPr>
                                            <w:r w:rsidRPr="004E0B9F">
                                              <w:rPr>
                                                <w:spacing w:val="10"/>
                                                <w:sz w:val="20"/>
                                              </w:rPr>
                                              <w:t>Ако са установени непълноти и/или нередовности на проектното предложение?</w:t>
                                            </w:r>
                                          </w:p>
                                        </w:txbxContent>
                                      </wps:txbx>
                                      <wps:bodyPr rot="0" vert="horz" wrap="square" lIns="91440" tIns="45720" rIns="91440" bIns="45720" anchor="t" anchorCtr="0" upright="1">
                                        <a:noAutofit/>
                                      </wps:bodyPr>
                                    </wps:wsp>
                                    <wps:wsp>
                                      <wps:cNvPr id="669" name="Rounded Rectangle 1"/>
                                      <wps:cNvSpPr>
                                        <a:spLocks noChangeArrowheads="1"/>
                                      </wps:cNvSpPr>
                                      <wps:spPr bwMode="auto">
                                        <a:xfrm>
                                          <a:off x="-107" y="7211"/>
                                          <a:ext cx="14954" cy="10053"/>
                                        </a:xfrm>
                                        <a:prstGeom prst="roundRect">
                                          <a:avLst>
                                            <a:gd name="adj" fmla="val 16667"/>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4E0B9F" w:rsidRDefault="00CD7E74" w:rsidP="007E360C">
                                            <w:pPr>
                                              <w:ind w:firstLine="0"/>
                                              <w:jc w:val="center"/>
                                              <w:rPr>
                                                <w:sz w:val="20"/>
                                                <w:lang w:val="en-US"/>
                                              </w:rPr>
                                            </w:pPr>
                                            <w:r w:rsidRPr="004E0B9F">
                                              <w:rPr>
                                                <w:spacing w:val="10"/>
                                                <w:sz w:val="20"/>
                                              </w:rPr>
                                              <w:t>Връщане на ФК за отстраняване на непълнотите и/или нередовности</w:t>
                                            </w:r>
                                          </w:p>
                                        </w:txbxContent>
                                      </wps:txbx>
                                      <wps:bodyPr rot="0" vert="horz" wrap="square" lIns="91440" tIns="45720" rIns="91440" bIns="45720" anchor="ctr" anchorCtr="0" upright="1">
                                        <a:noAutofit/>
                                      </wps:bodyPr>
                                    </wps:wsp>
                                    <wps:wsp>
                                      <wps:cNvPr id="2153" name="AutoShape 194"/>
                                      <wps:cNvSpPr>
                                        <a:spLocks noChangeArrowheads="1"/>
                                      </wps:cNvSpPr>
                                      <wps:spPr bwMode="auto">
                                        <a:xfrm rot="5400000">
                                          <a:off x="14676" y="2422"/>
                                          <a:ext cx="1296" cy="679"/>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g:grpSp>
                                  <wpg:grpSp>
                                    <wpg:cNvPr id="2154" name="Group 1019"/>
                                    <wpg:cNvGrpSpPr>
                                      <a:grpSpLocks/>
                                    </wpg:cNvGrpSpPr>
                                    <wpg:grpSpPr bwMode="auto">
                                      <a:xfrm>
                                        <a:off x="0" y="-1114"/>
                                        <a:ext cx="97264" cy="48446"/>
                                        <a:chOff x="0" y="-1114"/>
                                        <a:chExt cx="97264" cy="48446"/>
                                      </a:xfrm>
                                    </wpg:grpSpPr>
                                    <wpg:grpSp>
                                      <wpg:cNvPr id="2158" name="Group 182"/>
                                      <wpg:cNvGrpSpPr>
                                        <a:grpSpLocks/>
                                      </wpg:cNvGrpSpPr>
                                      <wpg:grpSpPr bwMode="auto">
                                        <a:xfrm>
                                          <a:off x="23088" y="10611"/>
                                          <a:ext cx="72873" cy="36721"/>
                                          <a:chOff x="-20879" y="-4781"/>
                                          <a:chExt cx="72873" cy="36720"/>
                                        </a:xfrm>
                                      </wpg:grpSpPr>
                                      <wps:wsp>
                                        <wps:cNvPr id="2159" name="Rounded Rectangle 1"/>
                                        <wps:cNvSpPr>
                                          <a:spLocks noChangeArrowheads="1"/>
                                        </wps:cNvSpPr>
                                        <wps:spPr bwMode="auto">
                                          <a:xfrm>
                                            <a:off x="-7173" y="1224"/>
                                            <a:ext cx="32511" cy="30251"/>
                                          </a:xfrm>
                                          <a:prstGeom prst="roundRect">
                                            <a:avLst>
                                              <a:gd name="adj" fmla="val 16667"/>
                                            </a:avLst>
                                          </a:prstGeom>
                                          <a:gradFill rotWithShape="1">
                                            <a:gsLst>
                                              <a:gs pos="0">
                                                <a:srgbClr val="DBEEF4"/>
                                              </a:gs>
                                              <a:gs pos="100000">
                                                <a:srgbClr val="FFFF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4E0B9F" w:rsidRDefault="00CD7E74" w:rsidP="007E360C">
                                              <w:pPr>
                                                <w:ind w:firstLine="0"/>
                                                <w:jc w:val="center"/>
                                                <w:rPr>
                                                  <w:spacing w:val="10"/>
                                                  <w:sz w:val="20"/>
                                                </w:rPr>
                                              </w:pPr>
                                              <w:r w:rsidRPr="004E0B9F">
                                                <w:rPr>
                                                  <w:spacing w:val="10"/>
                                                  <w:sz w:val="20"/>
                                                </w:rPr>
                                                <w:t>Оценка на проектните предложения: административно съответствие, допустимост</w:t>
                                              </w:r>
                                            </w:p>
                                            <w:p w:rsidR="00CD7E74" w:rsidRPr="004E0B9F" w:rsidRDefault="00CD7E74" w:rsidP="007E360C">
                                              <w:pPr>
                                                <w:ind w:firstLine="0"/>
                                                <w:jc w:val="center"/>
                                                <w:rPr>
                                                  <w:spacing w:val="10"/>
                                                  <w:sz w:val="20"/>
                                                </w:rPr>
                                              </w:pPr>
                                              <w:r w:rsidRPr="004E0B9F">
                                                <w:rPr>
                                                  <w:spacing w:val="10"/>
                                                  <w:sz w:val="20"/>
                                                </w:rPr>
                                                <w:t>техническа и финансова оценка</w:t>
                                              </w:r>
                                            </w:p>
                                            <w:p w:rsidR="00CD7E74" w:rsidRDefault="00CD7E74"/>
                                          </w:txbxContent>
                                        </wps:txbx>
                                        <wps:bodyPr rot="0" vert="horz" wrap="square" lIns="91440" tIns="45720" rIns="91440" bIns="45720" anchor="t" anchorCtr="0" upright="1">
                                          <a:noAutofit/>
                                        </wps:bodyPr>
                                      </wps:wsp>
                                      <wps:wsp>
                                        <wps:cNvPr id="2160" name="AutoShape 201"/>
                                        <wps:cNvSpPr>
                                          <a:spLocks noChangeArrowheads="1"/>
                                        </wps:cNvSpPr>
                                        <wps:spPr bwMode="auto">
                                          <a:xfrm>
                                            <a:off x="-20879" y="23107"/>
                                            <a:ext cx="1295" cy="680"/>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161" name="AutoShape 202"/>
                                        <wps:cNvSpPr>
                                          <a:spLocks noChangeArrowheads="1"/>
                                        </wps:cNvSpPr>
                                        <wps:spPr bwMode="auto">
                                          <a:xfrm>
                                            <a:off x="23064" y="-4781"/>
                                            <a:ext cx="28833" cy="4894"/>
                                          </a:xfrm>
                                          <a:prstGeom prst="roundRect">
                                            <a:avLst>
                                              <a:gd name="adj" fmla="val 16667"/>
                                            </a:avLst>
                                          </a:prstGeom>
                                          <a:solidFill>
                                            <a:srgbClr val="FFFFFF"/>
                                          </a:solidFill>
                                          <a:ln w="12700">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7E360C">
                                              <w:pPr>
                                                <w:ind w:firstLine="0"/>
                                                <w:jc w:val="center"/>
                                                <w:rPr>
                                                  <w:sz w:val="20"/>
                                                </w:rPr>
                                              </w:pPr>
                                              <w:r w:rsidRPr="004E0B9F">
                                                <w:rPr>
                                                  <w:sz w:val="20"/>
                                                </w:rPr>
                                                <w:t>Решение за сформиране на</w:t>
                                              </w:r>
                                            </w:p>
                                            <w:p w:rsidR="00CD7E74" w:rsidRPr="004E0B9F" w:rsidRDefault="00CD7E74" w:rsidP="007E360C">
                                              <w:pPr>
                                                <w:ind w:firstLine="0"/>
                                                <w:jc w:val="center"/>
                                                <w:rPr>
                                                  <w:sz w:val="20"/>
                                                </w:rPr>
                                              </w:pPr>
                                              <w:r w:rsidRPr="004E0B9F">
                                                <w:rPr>
                                                  <w:sz w:val="20"/>
                                                </w:rPr>
                                                <w:t xml:space="preserve">Оценителна комисия </w:t>
                                              </w:r>
                                            </w:p>
                                          </w:txbxContent>
                                        </wps:txbx>
                                        <wps:bodyPr rot="0" vert="horz" wrap="square" lIns="91440" tIns="45720" rIns="91440" bIns="45720" anchor="t" anchorCtr="0" upright="1">
                                          <a:noAutofit/>
                                        </wps:bodyPr>
                                      </wps:wsp>
                                      <wps:wsp>
                                        <wps:cNvPr id="2162" name="Rounded Rectangle 1"/>
                                        <wps:cNvSpPr>
                                          <a:spLocks noChangeArrowheads="1"/>
                                        </wps:cNvSpPr>
                                        <wps:spPr bwMode="auto">
                                          <a:xfrm>
                                            <a:off x="-8244" y="-3528"/>
                                            <a:ext cx="33768" cy="2896"/>
                                          </a:xfrm>
                                          <a:prstGeom prst="roundRect">
                                            <a:avLst>
                                              <a:gd name="adj" fmla="val 16667"/>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4E0B9F" w:rsidRDefault="00CD7E74" w:rsidP="007E360C">
                                              <w:pPr>
                                                <w:ind w:firstLine="0"/>
                                                <w:jc w:val="center"/>
                                                <w:rPr>
                                                  <w:sz w:val="20"/>
                                                </w:rPr>
                                              </w:pPr>
                                              <w:r w:rsidRPr="004E0B9F">
                                                <w:rPr>
                                                  <w:spacing w:val="10"/>
                                                  <w:sz w:val="20"/>
                                                </w:rPr>
                                                <w:t>Сформиране на оценителна комисия</w:t>
                                              </w:r>
                                            </w:p>
                                          </w:txbxContent>
                                        </wps:txbx>
                                        <wps:bodyPr rot="0" vert="horz" wrap="square" lIns="91440" tIns="45720" rIns="91440" bIns="45720" anchor="ctr" anchorCtr="0" upright="1">
                                          <a:noAutofit/>
                                        </wps:bodyPr>
                                      </wps:wsp>
                                      <wps:wsp>
                                        <wps:cNvPr id="2163" name="AutoShape 204"/>
                                        <wps:cNvSpPr>
                                          <a:spLocks noChangeArrowheads="1"/>
                                        </wps:cNvSpPr>
                                        <wps:spPr bwMode="auto">
                                          <a:xfrm>
                                            <a:off x="6409" y="114"/>
                                            <a:ext cx="1297" cy="680"/>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164" name="AutoShape 74"/>
                                        <wps:cNvSpPr>
                                          <a:spLocks noChangeArrowheads="1"/>
                                        </wps:cNvSpPr>
                                        <wps:spPr bwMode="auto">
                                          <a:xfrm>
                                            <a:off x="24469" y="4012"/>
                                            <a:ext cx="27060" cy="6718"/>
                                          </a:xfrm>
                                          <a:prstGeom prst="roundRect">
                                            <a:avLst>
                                              <a:gd name="adj" fmla="val 16667"/>
                                            </a:avLst>
                                          </a:prstGeom>
                                          <a:solidFill>
                                            <a:srgbClr val="FFFFFF"/>
                                          </a:solidFill>
                                          <a:ln w="12700">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7E360C">
                                              <w:pPr>
                                                <w:ind w:firstLine="0"/>
                                                <w:jc w:val="center"/>
                                                <w:rPr>
                                                  <w:spacing w:val="10"/>
                                                  <w:sz w:val="20"/>
                                                </w:rPr>
                                              </w:pPr>
                                              <w:r w:rsidRPr="004E0B9F">
                                                <w:rPr>
                                                  <w:spacing w:val="10"/>
                                                  <w:sz w:val="20"/>
                                                </w:rPr>
                                                <w:t xml:space="preserve">Декларации за липса на конфликт на интереси и поверителност и </w:t>
                                              </w:r>
                                            </w:p>
                                            <w:p w:rsidR="00CD7E74" w:rsidRPr="004E0B9F" w:rsidRDefault="00CD7E74" w:rsidP="007E360C">
                                              <w:pPr>
                                                <w:ind w:firstLine="0"/>
                                                <w:jc w:val="center"/>
                                                <w:rPr>
                                                  <w:sz w:val="20"/>
                                                </w:rPr>
                                              </w:pPr>
                                              <w:r w:rsidRPr="004E0B9F">
                                                <w:rPr>
                                                  <w:spacing w:val="10"/>
                                                  <w:sz w:val="20"/>
                                                </w:rPr>
                                                <w:t>Контролен лист за проверка</w:t>
                                              </w:r>
                                            </w:p>
                                          </w:txbxContent>
                                        </wps:txbx>
                                        <wps:bodyPr rot="0" vert="horz" wrap="square" lIns="91440" tIns="45720" rIns="91440" bIns="45720" anchor="t" anchorCtr="0" upright="1">
                                          <a:noAutofit/>
                                        </wps:bodyPr>
                                      </wps:wsp>
                                      <wps:wsp>
                                        <wps:cNvPr id="2165" name="Rounded Rectangle 1"/>
                                        <wps:cNvSpPr>
                                          <a:spLocks noChangeArrowheads="1"/>
                                        </wps:cNvSpPr>
                                        <wps:spPr bwMode="auto">
                                          <a:xfrm>
                                            <a:off x="-7787" y="8132"/>
                                            <a:ext cx="34770" cy="5791"/>
                                          </a:xfrm>
                                          <a:prstGeom prst="roundRect">
                                            <a:avLst>
                                              <a:gd name="adj" fmla="val 16667"/>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EF15E3" w:rsidRDefault="00CD7E74" w:rsidP="007E360C">
                                              <w:pPr>
                                                <w:ind w:firstLine="0"/>
                                                <w:jc w:val="center"/>
                                                <w:rPr>
                                                  <w:spacing w:val="10"/>
                                                  <w:sz w:val="18"/>
                                                  <w:szCs w:val="18"/>
                                                </w:rPr>
                                              </w:pPr>
                                              <w:r w:rsidRPr="00EF15E3">
                                                <w:rPr>
                                                  <w:spacing w:val="10"/>
                                                  <w:sz w:val="18"/>
                                                  <w:szCs w:val="18"/>
                                                </w:rPr>
                                                <w:t>Първо заседание на оценителната комисия и подписване на декларации за липса на конфликт на интереси и поверителност</w:t>
                                              </w:r>
                                            </w:p>
                                            <w:p w:rsidR="00CD7E74" w:rsidRPr="004E0B9F" w:rsidRDefault="00CD7E74" w:rsidP="007E360C">
                                              <w:pPr>
                                                <w:ind w:firstLine="0"/>
                                                <w:jc w:val="center"/>
                                                <w:rPr>
                                                  <w:sz w:val="20"/>
                                                </w:rPr>
                                              </w:pPr>
                                            </w:p>
                                          </w:txbxContent>
                                        </wps:txbx>
                                        <wps:bodyPr rot="0" vert="horz" wrap="square" lIns="91440" tIns="45720" rIns="91440" bIns="45720" anchor="ctr" anchorCtr="0" upright="1">
                                          <a:noAutofit/>
                                        </wps:bodyPr>
                                      </wps:wsp>
                                      <wpg:grpSp>
                                        <wpg:cNvPr id="2166" name="Group 166"/>
                                        <wpg:cNvGrpSpPr>
                                          <a:grpSpLocks/>
                                        </wpg:cNvGrpSpPr>
                                        <wpg:grpSpPr bwMode="auto">
                                          <a:xfrm>
                                            <a:off x="-5473" y="14620"/>
                                            <a:ext cx="57467" cy="17319"/>
                                            <a:chOff x="-8826" y="-13116"/>
                                            <a:chExt cx="57468" cy="17319"/>
                                          </a:xfrm>
                                        </wpg:grpSpPr>
                                        <wps:wsp>
                                          <wps:cNvPr id="2167" name="AutoShape 208"/>
                                          <wps:cNvSpPr>
                                            <a:spLocks noChangeArrowheads="1"/>
                                          </wps:cNvSpPr>
                                          <wps:spPr bwMode="auto">
                                            <a:xfrm>
                                              <a:off x="21514" y="-7524"/>
                                              <a:ext cx="27128" cy="4552"/>
                                            </a:xfrm>
                                            <a:prstGeom prst="roundRect">
                                              <a:avLst>
                                                <a:gd name="adj" fmla="val 16667"/>
                                              </a:avLst>
                                            </a:prstGeom>
                                            <a:solidFill>
                                              <a:srgbClr val="FFFFFF"/>
                                            </a:solidFill>
                                            <a:ln w="12700">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7E360C">
                                                <w:pPr>
                                                  <w:ind w:firstLine="0"/>
                                                  <w:jc w:val="center"/>
                                                  <w:rPr>
                                                    <w:sz w:val="20"/>
                                                  </w:rPr>
                                                </w:pPr>
                                                <w:r w:rsidRPr="004E0B9F">
                                                  <w:rPr>
                                                    <w:spacing w:val="10"/>
                                                    <w:sz w:val="20"/>
                                                  </w:rPr>
                                                  <w:t>Контролен лист за проверка на липса на двойно финансиране</w:t>
                                                </w:r>
                                              </w:p>
                                              <w:p w:rsidR="00CD7E74" w:rsidRPr="004E0B9F" w:rsidRDefault="00CD7E74" w:rsidP="007E360C">
                                                <w:pPr>
                                                  <w:ind w:firstLine="0"/>
                                                  <w:jc w:val="center"/>
                                                  <w:rPr>
                                                    <w:sz w:val="20"/>
                                                  </w:rPr>
                                                </w:pPr>
                                              </w:p>
                                            </w:txbxContent>
                                          </wps:txbx>
                                          <wps:bodyPr rot="0" vert="horz" wrap="square" lIns="91440" tIns="45720" rIns="91440" bIns="45720" anchor="t" anchorCtr="0" upright="1">
                                            <a:noAutofit/>
                                          </wps:bodyPr>
                                        </wps:wsp>
                                        <wps:wsp>
                                          <wps:cNvPr id="2168" name="Rounded Rectangle 1"/>
                                          <wps:cNvSpPr>
                                            <a:spLocks noChangeArrowheads="1"/>
                                          </wps:cNvSpPr>
                                          <wps:spPr bwMode="auto">
                                            <a:xfrm>
                                              <a:off x="-8826" y="-13116"/>
                                              <a:ext cx="29612" cy="4696"/>
                                            </a:xfrm>
                                            <a:prstGeom prst="roundRect">
                                              <a:avLst>
                                                <a:gd name="adj" fmla="val 16667"/>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4E0B9F" w:rsidRDefault="00CD7E74" w:rsidP="007E360C">
                                                <w:pPr>
                                                  <w:ind w:firstLine="0"/>
                                                  <w:jc w:val="center"/>
                                                  <w:rPr>
                                                    <w:sz w:val="20"/>
                                                  </w:rPr>
                                                </w:pPr>
                                                <w:r w:rsidRPr="004E0B9F">
                                                  <w:rPr>
                                                    <w:spacing w:val="10"/>
                                                    <w:sz w:val="20"/>
                                                  </w:rPr>
                                                  <w:t>Проверка: за административен, финансов и оперативен капацитет на бенефициента</w:t>
                                                </w:r>
                                              </w:p>
                                            </w:txbxContent>
                                          </wps:txbx>
                                          <wps:bodyPr rot="0" vert="horz" wrap="square" lIns="91440" tIns="45720" rIns="91440" bIns="45720" anchor="ctr" anchorCtr="0" upright="1">
                                            <a:noAutofit/>
                                          </wps:bodyPr>
                                        </wps:wsp>
                                        <wps:wsp>
                                          <wps:cNvPr id="2169" name="Rounded Rectangle 1"/>
                                          <wps:cNvSpPr>
                                            <a:spLocks noChangeArrowheads="1"/>
                                          </wps:cNvSpPr>
                                          <wps:spPr bwMode="auto">
                                            <a:xfrm>
                                              <a:off x="-8646" y="-7524"/>
                                              <a:ext cx="29612" cy="3365"/>
                                            </a:xfrm>
                                            <a:prstGeom prst="roundRect">
                                              <a:avLst>
                                                <a:gd name="adj" fmla="val 16667"/>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4E0B9F" w:rsidRDefault="00CD7E74" w:rsidP="007E360C">
                                                <w:pPr>
                                                  <w:ind w:firstLine="0"/>
                                                  <w:jc w:val="center"/>
                                                  <w:rPr>
                                                    <w:sz w:val="20"/>
                                                  </w:rPr>
                                                </w:pPr>
                                                <w:r w:rsidRPr="004E0B9F">
                                                  <w:rPr>
                                                    <w:spacing w:val="10"/>
                                                    <w:sz w:val="20"/>
                                                  </w:rPr>
                                                  <w:t>Проверка за липса на двойно финансиране</w:t>
                                                </w:r>
                                              </w:p>
                                            </w:txbxContent>
                                          </wps:txbx>
                                          <wps:bodyPr rot="0" vert="horz" wrap="square" lIns="91440" tIns="45720" rIns="91440" bIns="45720" anchor="ctr" anchorCtr="0" upright="1">
                                            <a:noAutofit/>
                                          </wps:bodyPr>
                                        </wps:wsp>
                                        <wps:wsp>
                                          <wps:cNvPr id="2170" name="AutoShape 211"/>
                                          <wps:cNvSpPr>
                                            <a:spLocks noChangeArrowheads="1"/>
                                          </wps:cNvSpPr>
                                          <wps:spPr bwMode="auto">
                                            <a:xfrm>
                                              <a:off x="20279" y="-2321"/>
                                              <a:ext cx="23007" cy="4724"/>
                                            </a:xfrm>
                                            <a:prstGeom prst="roundRect">
                                              <a:avLst>
                                                <a:gd name="adj" fmla="val 16667"/>
                                              </a:avLst>
                                            </a:prstGeom>
                                            <a:solidFill>
                                              <a:srgbClr val="FFFFFF"/>
                                            </a:solidFill>
                                            <a:ln w="12700">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7E360C">
                                                <w:pPr>
                                                  <w:ind w:firstLine="0"/>
                                                  <w:jc w:val="center"/>
                                                  <w:rPr>
                                                    <w:spacing w:val="10"/>
                                                    <w:sz w:val="20"/>
                                                  </w:rPr>
                                                </w:pPr>
                                                <w:r w:rsidRPr="004E0B9F">
                                                  <w:rPr>
                                                    <w:spacing w:val="10"/>
                                                    <w:sz w:val="20"/>
                                                  </w:rPr>
                                                  <w:t xml:space="preserve">Контролни листа за проверка за </w:t>
                                                </w:r>
                                              </w:p>
                                              <w:p w:rsidR="00CD7E74" w:rsidRPr="004E0B9F" w:rsidRDefault="00CD7E74" w:rsidP="007E360C">
                                                <w:pPr>
                                                  <w:ind w:firstLine="0"/>
                                                  <w:jc w:val="center"/>
                                                  <w:rPr>
                                                    <w:sz w:val="20"/>
                                                  </w:rPr>
                                                </w:pPr>
                                                <w:r w:rsidRPr="004E0B9F">
                                                  <w:rPr>
                                                    <w:spacing w:val="10"/>
                                                    <w:sz w:val="20"/>
                                                  </w:rPr>
                                                  <w:t>държавни помощи</w:t>
                                                </w:r>
                                              </w:p>
                                              <w:p w:rsidR="00CD7E74" w:rsidRPr="004E0B9F" w:rsidRDefault="00CD7E74" w:rsidP="007E360C">
                                                <w:pPr>
                                                  <w:ind w:firstLine="0"/>
                                                  <w:jc w:val="center"/>
                                                  <w:rPr>
                                                    <w:sz w:val="20"/>
                                                  </w:rPr>
                                                </w:pPr>
                                              </w:p>
                                            </w:txbxContent>
                                          </wps:txbx>
                                          <wps:bodyPr rot="0" vert="horz" wrap="square" lIns="91440" tIns="45720" rIns="91440" bIns="45720" anchor="t" anchorCtr="0" upright="1">
                                            <a:noAutofit/>
                                          </wps:bodyPr>
                                        </wps:wsp>
                                        <wps:wsp>
                                          <wps:cNvPr id="2171" name="Rounded Rectangle 1"/>
                                          <wps:cNvSpPr>
                                            <a:spLocks noChangeArrowheads="1"/>
                                          </wps:cNvSpPr>
                                          <wps:spPr bwMode="auto">
                                            <a:xfrm>
                                              <a:off x="-8646" y="-3208"/>
                                              <a:ext cx="29412" cy="7411"/>
                                            </a:xfrm>
                                            <a:prstGeom prst="roundRect">
                                              <a:avLst>
                                                <a:gd name="adj" fmla="val 16667"/>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4E0B9F" w:rsidRDefault="00CD7E74" w:rsidP="007E360C">
                                                <w:pPr>
                                                  <w:ind w:firstLine="0"/>
                                                  <w:jc w:val="center"/>
                                                  <w:rPr>
                                                    <w:sz w:val="20"/>
                                                  </w:rPr>
                                                </w:pPr>
                                                <w:r w:rsidRPr="004E0B9F">
                                                  <w:rPr>
                                                    <w:spacing w:val="10"/>
                                                    <w:sz w:val="20"/>
                                                  </w:rPr>
                                                  <w:t>Проверка: за наличие на държавни помощи и за съвместимост на държавна помощ с вътрешния пазар</w:t>
                                                </w:r>
                                              </w:p>
                                            </w:txbxContent>
                                          </wps:txbx>
                                          <wps:bodyPr rot="0" vert="horz" wrap="square" lIns="91440" tIns="45720" rIns="91440" bIns="45720" anchor="ctr" anchorCtr="0" upright="1">
                                            <a:noAutofit/>
                                          </wps:bodyPr>
                                        </wps:wsp>
                                      </wpg:grpSp>
                                    </wpg:grpSp>
                                    <wpg:grpSp>
                                      <wpg:cNvPr id="2172" name="Group 1017"/>
                                      <wpg:cNvGrpSpPr>
                                        <a:grpSpLocks/>
                                      </wpg:cNvGrpSpPr>
                                      <wpg:grpSpPr bwMode="auto">
                                        <a:xfrm>
                                          <a:off x="2167" y="-1114"/>
                                          <a:ext cx="95097" cy="15871"/>
                                          <a:chOff x="186" y="-1114"/>
                                          <a:chExt cx="95097" cy="15871"/>
                                        </a:xfrm>
                                      </wpg:grpSpPr>
                                      <wpg:grpSp>
                                        <wpg:cNvPr id="2174" name="Group 60"/>
                                        <wpg:cNvGrpSpPr>
                                          <a:grpSpLocks/>
                                        </wpg:cNvGrpSpPr>
                                        <wpg:grpSpPr bwMode="auto">
                                          <a:xfrm>
                                            <a:off x="8165" y="5537"/>
                                            <a:ext cx="73248" cy="9220"/>
                                            <a:chOff x="-111" y="4679"/>
                                            <a:chExt cx="11535" cy="1452"/>
                                          </a:xfrm>
                                        </wpg:grpSpPr>
                                        <wps:wsp>
                                          <wps:cNvPr id="2175" name="Text Box 4"/>
                                          <wps:cNvSpPr txBox="1">
                                            <a:spLocks noChangeArrowheads="1"/>
                                          </wps:cNvSpPr>
                                          <wps:spPr bwMode="auto">
                                            <a:xfrm>
                                              <a:off x="-111" y="5325"/>
                                              <a:ext cx="3782" cy="806"/>
                                            </a:xfrm>
                                            <a:prstGeom prst="rect">
                                              <a:avLst/>
                                            </a:prstGeom>
                                            <a:solidFill>
                                              <a:srgbClr val="FFFFFF"/>
                                            </a:solidFill>
                                            <a:ln w="6350">
                                              <a:solidFill>
                                                <a:srgbClr val="FFFFFF"/>
                                              </a:solidFill>
                                              <a:miter lim="800000"/>
                                              <a:headEnd/>
                                              <a:tailEnd/>
                                            </a:ln>
                                          </wps:spPr>
                                          <wps:txbx>
                                            <w:txbxContent>
                                              <w:p w:rsidR="00CD7E74" w:rsidRPr="004E0B9F" w:rsidRDefault="00CD7E74" w:rsidP="007E360C">
                                                <w:pPr>
                                                  <w:ind w:firstLine="0"/>
                                                  <w:jc w:val="center"/>
                                                  <w:rPr>
                                                    <w:sz w:val="20"/>
                                                  </w:rPr>
                                                </w:pPr>
                                                <w:r w:rsidRPr="004E0B9F">
                                                  <w:rPr>
                                                    <w:sz w:val="20"/>
                                                  </w:rPr>
                                                  <w:t xml:space="preserve">В случай, че проектното предложение  е за </w:t>
                                                </w:r>
                                                <w:r>
                                                  <w:rPr>
                                                    <w:sz w:val="20"/>
                                                  </w:rPr>
                                                  <w:t>инвестиционен</w:t>
                                                </w:r>
                                                <w:r w:rsidRPr="004E0B9F">
                                                  <w:rPr>
                                                    <w:sz w:val="20"/>
                                                  </w:rPr>
                                                  <w:t xml:space="preserve"> проект:</w:t>
                                                </w:r>
                                              </w:p>
                                            </w:txbxContent>
                                          </wps:txbx>
                                          <wps:bodyPr rot="0" vert="horz" wrap="square" lIns="91440" tIns="45720" rIns="91440" bIns="45720" anchor="t" anchorCtr="0" upright="1">
                                            <a:noAutofit/>
                                          </wps:bodyPr>
                                        </wps:wsp>
                                        <wps:wsp>
                                          <wps:cNvPr id="2209" name="AutoShape 218"/>
                                          <wps:cNvSpPr>
                                            <a:spLocks noChangeArrowheads="1"/>
                                          </wps:cNvSpPr>
                                          <wps:spPr bwMode="auto">
                                            <a:xfrm>
                                              <a:off x="6250" y="5517"/>
                                              <a:ext cx="204" cy="107"/>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210" name="AutoShape 219"/>
                                          <wps:cNvSpPr>
                                            <a:spLocks noChangeArrowheads="1"/>
                                          </wps:cNvSpPr>
                                          <wps:spPr bwMode="auto">
                                            <a:xfrm>
                                              <a:off x="295" y="5892"/>
                                              <a:ext cx="229" cy="180"/>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211" name="AutoShape 65"/>
                                          <wps:cNvSpPr>
                                            <a:spLocks noChangeArrowheads="1"/>
                                          </wps:cNvSpPr>
                                          <wps:spPr bwMode="auto">
                                            <a:xfrm>
                                              <a:off x="8268" y="4679"/>
                                              <a:ext cx="3156" cy="575"/>
                                            </a:xfrm>
                                            <a:prstGeom prst="roundRect">
                                              <a:avLst>
                                                <a:gd name="adj" fmla="val 16667"/>
                                              </a:avLst>
                                            </a:prstGeom>
                                            <a:solidFill>
                                              <a:srgbClr val="FFFFFF"/>
                                            </a:solidFill>
                                            <a:ln w="12700">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7E360C">
                                                <w:pPr>
                                                  <w:ind w:firstLine="0"/>
                                                  <w:jc w:val="center"/>
                                                  <w:rPr>
                                                    <w:sz w:val="20"/>
                                                  </w:rPr>
                                                </w:pPr>
                                                <w:r w:rsidRPr="004E0B9F">
                                                  <w:rPr>
                                                    <w:sz w:val="20"/>
                                                  </w:rPr>
                                                  <w:t>ФК за техническа помощ/ФП</w:t>
                                                </w:r>
                                              </w:p>
                                            </w:txbxContent>
                                          </wps:txbx>
                                          <wps:bodyPr rot="0" vert="horz" wrap="square" lIns="91440" tIns="45720" rIns="91440" bIns="45720" anchor="t" anchorCtr="0" upright="1">
                                            <a:noAutofit/>
                                          </wps:bodyPr>
                                        </wps:wsp>
                                        <wps:wsp>
                                          <wps:cNvPr id="2212" name="Rounded Rectangle 1"/>
                                          <wps:cNvSpPr>
                                            <a:spLocks noChangeArrowheads="1"/>
                                          </wps:cNvSpPr>
                                          <wps:spPr bwMode="auto">
                                            <a:xfrm>
                                              <a:off x="4247" y="4679"/>
                                              <a:ext cx="4252" cy="720"/>
                                            </a:xfrm>
                                            <a:prstGeom prst="roundRect">
                                              <a:avLst>
                                                <a:gd name="adj" fmla="val 16667"/>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4E0B9F" w:rsidRDefault="00CD7E74" w:rsidP="00E727E1">
                                                <w:pPr>
                                                  <w:ind w:firstLine="0"/>
                                                  <w:jc w:val="center"/>
                                                  <w:rPr>
                                                    <w:sz w:val="20"/>
                                                    <w:lang w:val="en-US"/>
                                                  </w:rPr>
                                                </w:pPr>
                                                <w:r w:rsidRPr="004E0B9F">
                                                  <w:rPr>
                                                    <w:spacing w:val="10"/>
                                                    <w:sz w:val="20"/>
                                                  </w:rPr>
                                                  <w:t>Подаване на проектно предложение</w:t>
                                                </w:r>
                                                <w:r>
                                                  <w:rPr>
                                                    <w:spacing w:val="10"/>
                                                    <w:sz w:val="20"/>
                                                  </w:rPr>
                                                  <w:t xml:space="preserve"> </w:t>
                                                </w:r>
                                                <w:r>
                                                  <w:rPr>
                                                    <w:sz w:val="20"/>
                                                  </w:rPr>
                                                  <w:t xml:space="preserve">чрез </w:t>
                                                </w:r>
                                                <w:r w:rsidRPr="004E0B9F">
                                                  <w:rPr>
                                                    <w:sz w:val="20"/>
                                                  </w:rPr>
                                                  <w:t xml:space="preserve"> ИСУН2020</w:t>
                                                </w:r>
                                              </w:p>
                                              <w:p w:rsidR="00CD7E74" w:rsidRPr="004E0B9F" w:rsidRDefault="00CD7E74" w:rsidP="007E360C">
                                                <w:pPr>
                                                  <w:ind w:firstLine="0"/>
                                                  <w:jc w:val="center"/>
                                                  <w:rPr>
                                                    <w:sz w:val="20"/>
                                                  </w:rPr>
                                                </w:pPr>
                                              </w:p>
                                            </w:txbxContent>
                                          </wps:txbx>
                                          <wps:bodyPr rot="0" vert="horz" wrap="square" lIns="91440" tIns="45720" rIns="91440" bIns="45720" anchor="ctr" anchorCtr="0" upright="1">
                                            <a:noAutofit/>
                                          </wps:bodyPr>
                                        </wps:wsp>
                                      </wpg:grpSp>
                                      <wps:wsp>
                                        <wps:cNvPr id="2213" name="Text Box 191"/>
                                        <wps:cNvSpPr txBox="1">
                                          <a:spLocks noChangeArrowheads="1"/>
                                        </wps:cNvSpPr>
                                        <wps:spPr bwMode="auto">
                                          <a:xfrm>
                                            <a:off x="186" y="-1114"/>
                                            <a:ext cx="95097" cy="3581"/>
                                          </a:xfrm>
                                          <a:prstGeom prst="rect">
                                            <a:avLst/>
                                          </a:prstGeom>
                                          <a:solidFill>
                                            <a:srgbClr val="FFFFFF"/>
                                          </a:solidFill>
                                          <a:ln w="6350">
                                            <a:solidFill>
                                              <a:srgbClr val="FFFFFF"/>
                                            </a:solidFill>
                                            <a:miter lim="800000"/>
                                            <a:headEnd/>
                                            <a:tailEnd/>
                                          </a:ln>
                                        </wps:spPr>
                                        <wps:txbx>
                                          <w:txbxContent>
                                            <w:p w:rsidR="00CD7E74" w:rsidRPr="004E0B9F" w:rsidRDefault="00CD7E74" w:rsidP="007E360C">
                                              <w:pPr>
                                                <w:ind w:firstLine="0"/>
                                                <w:jc w:val="center"/>
                                                <w:rPr>
                                                  <w:sz w:val="20"/>
                                                </w:rPr>
                                              </w:pPr>
                                              <w:r w:rsidRPr="004E0B9F">
                                                <w:rPr>
                                                  <w:b/>
                                                  <w:sz w:val="20"/>
                                                  <w:u w:val="single"/>
                                                </w:rPr>
                                                <w:t>Принципна схема на процедурата за предоставяне</w:t>
                                              </w:r>
                                              <w:r w:rsidR="00457FB0">
                                                <w:rPr>
                                                  <w:b/>
                                                  <w:sz w:val="20"/>
                                                  <w:u w:val="single"/>
                                                </w:rPr>
                                                <w:t xml:space="preserve"> на БФП</w:t>
                                              </w:r>
                                              <w:r w:rsidRPr="004E0B9F">
                                                <w:rPr>
                                                  <w:b/>
                                                  <w:sz w:val="20"/>
                                                  <w:u w:val="single"/>
                                                </w:rPr>
                                                <w:t xml:space="preserve"> по </w:t>
                                              </w:r>
                                              <w:r>
                                                <w:rPr>
                                                  <w:b/>
                                                  <w:sz w:val="20"/>
                                                  <w:u w:val="single"/>
                                                </w:rPr>
                                                <w:t>ПТС</w:t>
                                              </w:r>
                                            </w:p>
                                          </w:txbxContent>
                                        </wps:txbx>
                                        <wps:bodyPr rot="0" vert="horz" wrap="square" lIns="91440" tIns="45720" rIns="91440" bIns="45720" anchor="t" anchorCtr="0" upright="1">
                                          <a:noAutofit/>
                                        </wps:bodyPr>
                                      </wps:wsp>
                                    </wpg:grpSp>
                                    <wpg:grpSp>
                                      <wpg:cNvPr id="2214" name="Group 999"/>
                                      <wpg:cNvGrpSpPr>
                                        <a:grpSpLocks/>
                                      </wpg:cNvGrpSpPr>
                                      <wpg:grpSpPr bwMode="auto">
                                        <a:xfrm>
                                          <a:off x="0" y="15810"/>
                                          <a:ext cx="32759" cy="17489"/>
                                          <a:chOff x="0" y="-344"/>
                                          <a:chExt cx="32759" cy="17489"/>
                                        </a:xfrm>
                                      </wpg:grpSpPr>
                                      <wps:wsp>
                                        <wps:cNvPr id="2215" name="Text Box 183"/>
                                        <wps:cNvSpPr txBox="1">
                                          <a:spLocks noChangeArrowheads="1"/>
                                        </wps:cNvSpPr>
                                        <wps:spPr bwMode="auto">
                                          <a:xfrm>
                                            <a:off x="23469" y="4038"/>
                                            <a:ext cx="4221" cy="2896"/>
                                          </a:xfrm>
                                          <a:prstGeom prst="rect">
                                            <a:avLst/>
                                          </a:prstGeom>
                                          <a:noFill/>
                                          <a:ln w="635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CD7E74" w:rsidRPr="004E0B9F" w:rsidRDefault="00CD7E74" w:rsidP="007E360C">
                                              <w:pPr>
                                                <w:ind w:firstLine="0"/>
                                                <w:jc w:val="center"/>
                                                <w:rPr>
                                                  <w:sz w:val="20"/>
                                                </w:rPr>
                                              </w:pPr>
                                              <w:r w:rsidRPr="004E0B9F">
                                                <w:rPr>
                                                  <w:sz w:val="20"/>
                                                </w:rPr>
                                                <w:t>да</w:t>
                                              </w:r>
                                            </w:p>
                                          </w:txbxContent>
                                        </wps:txbx>
                                        <wps:bodyPr rot="0" vert="horz" wrap="square" lIns="91440" tIns="45720" rIns="91440" bIns="45720" anchor="t" anchorCtr="0" upright="1">
                                          <a:noAutofit/>
                                        </wps:bodyPr>
                                      </wps:wsp>
                                      <wps:wsp>
                                        <wps:cNvPr id="2216" name="AutoShape 65"/>
                                        <wps:cNvSpPr>
                                          <a:spLocks noChangeArrowheads="1"/>
                                        </wps:cNvSpPr>
                                        <wps:spPr bwMode="auto">
                                          <a:xfrm>
                                            <a:off x="0" y="4953"/>
                                            <a:ext cx="14262" cy="12192"/>
                                          </a:xfrm>
                                          <a:prstGeom prst="roundRect">
                                            <a:avLst>
                                              <a:gd name="adj" fmla="val 16667"/>
                                            </a:avLst>
                                          </a:prstGeom>
                                          <a:solidFill>
                                            <a:srgbClr val="FFFFFF"/>
                                          </a:solidFill>
                                          <a:ln w="12700">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7E360C">
                                              <w:pPr>
                                                <w:ind w:firstLine="0"/>
                                                <w:jc w:val="center"/>
                                                <w:rPr>
                                                  <w:sz w:val="20"/>
                                                </w:rPr>
                                              </w:pPr>
                                              <w:r w:rsidRPr="004E0B9F">
                                                <w:rPr>
                                                  <w:sz w:val="20"/>
                                                </w:rPr>
                                                <w:t xml:space="preserve">Становище на </w:t>
                                              </w:r>
                                              <w:r>
                                                <w:rPr>
                                                  <w:sz w:val="20"/>
                                                </w:rPr>
                                                <w:t>Джаспърс</w:t>
                                              </w:r>
                                              <w:r w:rsidRPr="004E0B9F">
                                                <w:rPr>
                                                  <w:sz w:val="20"/>
                                                </w:rPr>
                                                <w:t xml:space="preserve"> от извършен преглед на качеството на ФК за </w:t>
                                              </w:r>
                                              <w:r>
                                                <w:rPr>
                                                  <w:sz w:val="20"/>
                                                </w:rPr>
                                                <w:t>инвестиционен</w:t>
                                              </w:r>
                                              <w:r w:rsidRPr="004E0B9F">
                                                <w:rPr>
                                                  <w:sz w:val="20"/>
                                                </w:rPr>
                                                <w:t xml:space="preserve"> проект</w:t>
                                              </w:r>
                                            </w:p>
                                          </w:txbxContent>
                                        </wps:txbx>
                                        <wps:bodyPr rot="0" vert="horz" wrap="square" lIns="91440" tIns="45720" rIns="91440" bIns="45720" anchor="t" anchorCtr="0" upright="1">
                                          <a:noAutofit/>
                                        </wps:bodyPr>
                                      </wps:wsp>
                                      <wps:wsp>
                                        <wps:cNvPr id="2217" name="AutoShape 226"/>
                                        <wps:cNvSpPr>
                                          <a:spLocks noChangeArrowheads="1"/>
                                        </wps:cNvSpPr>
                                        <wps:spPr bwMode="auto">
                                          <a:xfrm>
                                            <a:off x="21640" y="5486"/>
                                            <a:ext cx="1296" cy="679"/>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218" name="Rounded Rectangle 1"/>
                                        <wps:cNvSpPr>
                                          <a:spLocks noChangeArrowheads="1"/>
                                        </wps:cNvSpPr>
                                        <wps:spPr bwMode="auto">
                                          <a:xfrm>
                                            <a:off x="12725" y="6934"/>
                                            <a:ext cx="18059" cy="7925"/>
                                          </a:xfrm>
                                          <a:prstGeom prst="roundRect">
                                            <a:avLst>
                                              <a:gd name="adj" fmla="val 16667"/>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4E0B9F" w:rsidRDefault="00CD7E74" w:rsidP="007E360C">
                                              <w:pPr>
                                                <w:ind w:firstLine="0"/>
                                                <w:jc w:val="center"/>
                                                <w:rPr>
                                                  <w:spacing w:val="10"/>
                                                  <w:sz w:val="20"/>
                                                </w:rPr>
                                              </w:pPr>
                                              <w:r w:rsidRPr="004E0B9F">
                                                <w:rPr>
                                                  <w:spacing w:val="10"/>
                                                  <w:sz w:val="20"/>
                                                </w:rPr>
                                                <w:t>Изпращане на ФК за извършване напреглед на качеството</w:t>
                                              </w:r>
                                              <w:r>
                                                <w:rPr>
                                                  <w:spacing w:val="10"/>
                                                  <w:sz w:val="20"/>
                                                </w:rPr>
                                                <w:t xml:space="preserve"> на проекта </w:t>
                                              </w:r>
                                              <w:r w:rsidRPr="004E0B9F">
                                                <w:rPr>
                                                  <w:spacing w:val="10"/>
                                                  <w:sz w:val="20"/>
                                                </w:rPr>
                                                <w:t xml:space="preserve"> от Джаспърс</w:t>
                                              </w:r>
                                            </w:p>
                                          </w:txbxContent>
                                        </wps:txbx>
                                        <wps:bodyPr rot="0" vert="horz" wrap="square" lIns="91440" tIns="45720" rIns="91440" bIns="45720" anchor="ctr" anchorCtr="0" upright="1">
                                          <a:noAutofit/>
                                        </wps:bodyPr>
                                      </wps:wsp>
                                      <wps:wsp>
                                        <wps:cNvPr id="2219" name="AutoShape 228"/>
                                        <wps:cNvSpPr>
                                          <a:spLocks noChangeArrowheads="1"/>
                                        </wps:cNvSpPr>
                                        <wps:spPr bwMode="auto">
                                          <a:xfrm>
                                            <a:off x="21793" y="0"/>
                                            <a:ext cx="1295" cy="679"/>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670" name="Text Box 4"/>
                                        <wps:cNvSpPr txBox="1">
                                          <a:spLocks noChangeArrowheads="1"/>
                                        </wps:cNvSpPr>
                                        <wps:spPr bwMode="auto">
                                          <a:xfrm>
                                            <a:off x="10363" y="-344"/>
                                            <a:ext cx="22396" cy="5297"/>
                                          </a:xfrm>
                                          <a:prstGeom prst="rect">
                                            <a:avLst/>
                                          </a:prstGeom>
                                          <a:solidFill>
                                            <a:srgbClr val="FFFFFF"/>
                                          </a:solidFill>
                                          <a:ln w="6350">
                                            <a:solidFill>
                                              <a:srgbClr val="FFFFFF"/>
                                            </a:solidFill>
                                            <a:miter lim="800000"/>
                                            <a:headEnd/>
                                            <a:tailEnd/>
                                          </a:ln>
                                        </wps:spPr>
                                        <wps:txbx>
                                          <w:txbxContent>
                                            <w:p w:rsidR="00CD7E74" w:rsidRPr="004E0B9F" w:rsidRDefault="00CD7E74" w:rsidP="007E360C">
                                              <w:pPr>
                                                <w:ind w:firstLine="0"/>
                                                <w:jc w:val="center"/>
                                                <w:rPr>
                                                  <w:sz w:val="20"/>
                                                </w:rPr>
                                              </w:pPr>
                                              <w:r>
                                                <w:rPr>
                                                  <w:sz w:val="20"/>
                                                </w:rPr>
                                                <w:t>Проектът включен ли е в годишния план на Джаспърс</w:t>
                                              </w:r>
                                            </w:p>
                                            <w:p w:rsidR="00CD7E74" w:rsidRPr="004E0B9F" w:rsidRDefault="00CD7E74" w:rsidP="007E360C">
                                              <w:pPr>
                                                <w:ind w:firstLine="0"/>
                                                <w:jc w:val="center"/>
                                                <w:rPr>
                                                  <w:sz w:val="20"/>
                                                </w:rPr>
                                              </w:pPr>
                                            </w:p>
                                          </w:txbxContent>
                                        </wps:txbx>
                                        <wps:bodyPr rot="0" vert="horz" wrap="square" lIns="91440" tIns="45720" rIns="91440" bIns="45720" anchor="t" anchorCtr="0" upright="1">
                                          <a:noAutofit/>
                                        </wps:bodyPr>
                                      </wps:wsp>
                                    </wpg:grpSp>
                                  </wpg:grpSp>
                                  <wpg:grpSp>
                                    <wpg:cNvPr id="671" name="Group 1021"/>
                                    <wpg:cNvGrpSpPr>
                                      <a:grpSpLocks/>
                                    </wpg:cNvGrpSpPr>
                                    <wpg:grpSpPr bwMode="auto">
                                      <a:xfrm>
                                        <a:off x="5180" y="46382"/>
                                        <a:ext cx="92081" cy="12465"/>
                                        <a:chOff x="4037" y="-6729"/>
                                        <a:chExt cx="92081" cy="12465"/>
                                      </a:xfrm>
                                    </wpg:grpSpPr>
                                    <wpg:grpSp>
                                      <wpg:cNvPr id="2016" name="Group 76"/>
                                      <wpg:cNvGrpSpPr>
                                        <a:grpSpLocks/>
                                      </wpg:cNvGrpSpPr>
                                      <wpg:grpSpPr bwMode="auto">
                                        <a:xfrm>
                                          <a:off x="34723" y="-6729"/>
                                          <a:ext cx="61395" cy="11852"/>
                                          <a:chOff x="3736" y="10749"/>
                                          <a:chExt cx="8353" cy="2708"/>
                                        </a:xfrm>
                                      </wpg:grpSpPr>
                                      <wps:wsp>
                                        <wps:cNvPr id="2017" name="AutoShape 258"/>
                                        <wps:cNvSpPr>
                                          <a:spLocks noChangeArrowheads="1"/>
                                        </wps:cNvSpPr>
                                        <wps:spPr bwMode="auto">
                                          <a:xfrm>
                                            <a:off x="5833" y="11163"/>
                                            <a:ext cx="204" cy="107"/>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018" name="AutoShape 259"/>
                                        <wps:cNvSpPr>
                                          <a:spLocks noChangeArrowheads="1"/>
                                        </wps:cNvSpPr>
                                        <wps:spPr bwMode="auto">
                                          <a:xfrm>
                                            <a:off x="8423" y="10749"/>
                                            <a:ext cx="2780" cy="1051"/>
                                          </a:xfrm>
                                          <a:prstGeom prst="roundRect">
                                            <a:avLst>
                                              <a:gd name="adj" fmla="val 16667"/>
                                            </a:avLst>
                                          </a:prstGeom>
                                          <a:solidFill>
                                            <a:srgbClr val="FFFFFF"/>
                                          </a:solidFill>
                                          <a:ln w="12700">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7E360C">
                                              <w:pPr>
                                                <w:ind w:firstLine="0"/>
                                                <w:jc w:val="center"/>
                                                <w:rPr>
                                                  <w:sz w:val="20"/>
                                                </w:rPr>
                                              </w:pPr>
                                              <w:r w:rsidRPr="004E0B9F">
                                                <w:rPr>
                                                  <w:sz w:val="20"/>
                                                </w:rPr>
                                                <w:t>Оценителен доклад и оценителни таблици</w:t>
                                              </w:r>
                                            </w:p>
                                          </w:txbxContent>
                                        </wps:txbx>
                                        <wps:bodyPr rot="0" vert="horz" wrap="square" lIns="91440" tIns="45720" rIns="91440" bIns="45720" anchor="t" anchorCtr="0" upright="1">
                                          <a:noAutofit/>
                                        </wps:bodyPr>
                                      </wps:wsp>
                                      <wps:wsp>
                                        <wps:cNvPr id="2019" name="AutoShape 260"/>
                                        <wps:cNvSpPr>
                                          <a:spLocks noChangeArrowheads="1"/>
                                        </wps:cNvSpPr>
                                        <wps:spPr bwMode="auto">
                                          <a:xfrm>
                                            <a:off x="5769" y="12555"/>
                                            <a:ext cx="204" cy="107"/>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672" name="AutoShape 81"/>
                                        <wps:cNvSpPr>
                                          <a:spLocks noChangeArrowheads="1"/>
                                        </wps:cNvSpPr>
                                        <wps:spPr bwMode="auto">
                                          <a:xfrm>
                                            <a:off x="8435" y="12440"/>
                                            <a:ext cx="3654" cy="943"/>
                                          </a:xfrm>
                                          <a:prstGeom prst="roundRect">
                                            <a:avLst>
                                              <a:gd name="adj" fmla="val 16667"/>
                                            </a:avLst>
                                          </a:prstGeom>
                                          <a:solidFill>
                                            <a:srgbClr val="FFFFFF"/>
                                          </a:solidFill>
                                          <a:ln w="12700">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7E360C">
                                              <w:pPr>
                                                <w:ind w:firstLine="0"/>
                                                <w:jc w:val="center"/>
                                                <w:rPr>
                                                  <w:spacing w:val="10"/>
                                                  <w:sz w:val="20"/>
                                                </w:rPr>
                                              </w:pPr>
                                              <w:r w:rsidRPr="004E0B9F">
                                                <w:rPr>
                                                  <w:sz w:val="20"/>
                                                </w:rPr>
                                                <w:t>Решение за БФП; Договор/Заповед за БФП</w:t>
                                              </w:r>
                                            </w:p>
                                          </w:txbxContent>
                                        </wps:txbx>
                                        <wps:bodyPr rot="0" vert="horz" wrap="square" lIns="91440" tIns="45720" rIns="91440" bIns="45720" anchor="t" anchorCtr="0" upright="1">
                                          <a:noAutofit/>
                                        </wps:bodyPr>
                                      </wps:wsp>
                                      <wps:wsp>
                                        <wps:cNvPr id="673" name="AutoShape 262"/>
                                        <wps:cNvSpPr>
                                          <a:spLocks noChangeArrowheads="1"/>
                                        </wps:cNvSpPr>
                                        <wps:spPr bwMode="auto">
                                          <a:xfrm>
                                            <a:off x="3769" y="12752"/>
                                            <a:ext cx="4728" cy="705"/>
                                          </a:xfrm>
                                          <a:prstGeom prst="roundRect">
                                            <a:avLst>
                                              <a:gd name="adj" fmla="val 16667"/>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4E0B9F" w:rsidRDefault="00CD7E74" w:rsidP="007E360C">
                                              <w:pPr>
                                                <w:ind w:firstLine="0"/>
                                                <w:jc w:val="center"/>
                                                <w:rPr>
                                                  <w:sz w:val="20"/>
                                                </w:rPr>
                                              </w:pPr>
                                              <w:r w:rsidRPr="004E0B9F">
                                                <w:rPr>
                                                  <w:sz w:val="20"/>
                                                </w:rPr>
                                                <w:t>Предоставяне на безвъзмездна финансова помощ</w:t>
                                              </w:r>
                                            </w:p>
                                            <w:p w:rsidR="00CD7E74" w:rsidRPr="004E0B9F" w:rsidRDefault="00CD7E74" w:rsidP="007E360C">
                                              <w:pPr>
                                                <w:ind w:firstLine="0"/>
                                                <w:jc w:val="center"/>
                                                <w:rPr>
                                                  <w:sz w:val="20"/>
                                                </w:rPr>
                                              </w:pPr>
                                            </w:p>
                                          </w:txbxContent>
                                        </wps:txbx>
                                        <wps:bodyPr rot="0" vert="horz" wrap="square" lIns="91440" tIns="45720" rIns="91440" bIns="45720" anchor="ctr" anchorCtr="0" upright="1">
                                          <a:noAutofit/>
                                        </wps:bodyPr>
                                      </wps:wsp>
                                      <wps:wsp>
                                        <wps:cNvPr id="674" name="AutoShape 263"/>
                                        <wps:cNvSpPr>
                                          <a:spLocks noChangeArrowheads="1"/>
                                        </wps:cNvSpPr>
                                        <wps:spPr bwMode="auto">
                                          <a:xfrm>
                                            <a:off x="3736" y="11347"/>
                                            <a:ext cx="4709" cy="1093"/>
                                          </a:xfrm>
                                          <a:prstGeom prst="roundRect">
                                            <a:avLst>
                                              <a:gd name="adj" fmla="val 16667"/>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4E0B9F" w:rsidRDefault="00CD7E74" w:rsidP="007E360C">
                                              <w:pPr>
                                                <w:ind w:firstLine="0"/>
                                                <w:jc w:val="center"/>
                                                <w:rPr>
                                                  <w:sz w:val="20"/>
                                                </w:rPr>
                                              </w:pPr>
                                              <w:r w:rsidRPr="004E0B9F">
                                                <w:rPr>
                                                  <w:sz w:val="20"/>
                                                </w:rPr>
                                                <w:t>Приключване на оценката с препоръка за одобрение или отхвърляне на проектното предложение</w:t>
                                              </w:r>
                                            </w:p>
                                            <w:p w:rsidR="00CD7E74" w:rsidRPr="004E0B9F" w:rsidRDefault="00CD7E74" w:rsidP="007E360C">
                                              <w:pPr>
                                                <w:ind w:firstLine="0"/>
                                                <w:jc w:val="center"/>
                                                <w:rPr>
                                                  <w:sz w:val="20"/>
                                                </w:rPr>
                                              </w:pPr>
                                            </w:p>
                                          </w:txbxContent>
                                        </wps:txbx>
                                        <wps:bodyPr rot="0" vert="horz" wrap="square" lIns="91440" tIns="45720" rIns="91440" bIns="45720" anchor="ctr" anchorCtr="0" upright="1">
                                          <a:noAutofit/>
                                        </wps:bodyPr>
                                      </wps:wsp>
                                    </wpg:grpSp>
                                    <wpg:grpSp>
                                      <wpg:cNvPr id="675" name="Group 1020"/>
                                      <wpg:cNvGrpSpPr>
                                        <a:grpSpLocks/>
                                      </wpg:cNvGrpSpPr>
                                      <wpg:grpSpPr bwMode="auto">
                                        <a:xfrm>
                                          <a:off x="4037" y="-715"/>
                                          <a:ext cx="29945" cy="6451"/>
                                          <a:chOff x="4037" y="-715"/>
                                          <a:chExt cx="29945" cy="6451"/>
                                        </a:xfrm>
                                      </wpg:grpSpPr>
                                      <wps:wsp>
                                        <wps:cNvPr id="677" name="Text Box 4"/>
                                        <wps:cNvSpPr txBox="1">
                                          <a:spLocks noChangeArrowheads="1"/>
                                        </wps:cNvSpPr>
                                        <wps:spPr bwMode="auto">
                                          <a:xfrm>
                                            <a:off x="19157" y="-97"/>
                                            <a:ext cx="13862" cy="4711"/>
                                          </a:xfrm>
                                          <a:prstGeom prst="rect">
                                            <a:avLst/>
                                          </a:prstGeom>
                                          <a:solidFill>
                                            <a:srgbClr val="FFFFFF"/>
                                          </a:solidFill>
                                          <a:ln w="6350">
                                            <a:solidFill>
                                              <a:srgbClr val="FFFFFF"/>
                                            </a:solidFill>
                                            <a:miter lim="800000"/>
                                            <a:headEnd/>
                                            <a:tailEnd/>
                                          </a:ln>
                                        </wps:spPr>
                                        <wps:txbx>
                                          <w:txbxContent>
                                            <w:p w:rsidR="00CD7E74" w:rsidRPr="004E0B9F" w:rsidRDefault="00CD7E74" w:rsidP="007E360C">
                                              <w:pPr>
                                                <w:ind w:firstLine="0"/>
                                                <w:jc w:val="center"/>
                                                <w:rPr>
                                                  <w:sz w:val="20"/>
                                                </w:rPr>
                                              </w:pPr>
                                              <w:r w:rsidRPr="004E0B9F">
                                                <w:rPr>
                                                  <w:sz w:val="20"/>
                                                </w:rPr>
                                                <w:t xml:space="preserve">В случай, че ФК е за </w:t>
                                              </w:r>
                                              <w:r>
                                                <w:rPr>
                                                  <w:sz w:val="20"/>
                                                </w:rPr>
                                                <w:t>стратегически</w:t>
                                              </w:r>
                                              <w:r w:rsidRPr="004E0B9F">
                                                <w:rPr>
                                                  <w:sz w:val="20"/>
                                                </w:rPr>
                                                <w:t xml:space="preserve"> проект:</w:t>
                                              </w:r>
                                            </w:p>
                                            <w:p w:rsidR="00CD7E74" w:rsidRPr="004E0B9F" w:rsidRDefault="00CD7E74" w:rsidP="007E360C">
                                              <w:pPr>
                                                <w:ind w:firstLine="0"/>
                                                <w:jc w:val="center"/>
                                                <w:rPr>
                                                  <w:sz w:val="20"/>
                                                </w:rPr>
                                              </w:pPr>
                                            </w:p>
                                          </w:txbxContent>
                                        </wps:txbx>
                                        <wps:bodyPr rot="0" vert="horz" wrap="square" lIns="91440" tIns="45720" rIns="91440" bIns="45720" anchor="t" anchorCtr="0" upright="1">
                                          <a:noAutofit/>
                                        </wps:bodyPr>
                                      </wps:wsp>
                                      <wps:wsp>
                                        <wps:cNvPr id="679" name="AutoShape 241"/>
                                        <wps:cNvSpPr>
                                          <a:spLocks noChangeArrowheads="1"/>
                                        </wps:cNvSpPr>
                                        <wps:spPr bwMode="auto">
                                          <a:xfrm rot="5400000">
                                            <a:off x="32994" y="1547"/>
                                            <a:ext cx="1295" cy="680"/>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680" name="Rounded Rectangle 1"/>
                                        <wps:cNvSpPr>
                                          <a:spLocks noChangeArrowheads="1"/>
                                        </wps:cNvSpPr>
                                        <wps:spPr bwMode="auto">
                                          <a:xfrm>
                                            <a:off x="4037" y="-715"/>
                                            <a:ext cx="14459" cy="6451"/>
                                          </a:xfrm>
                                          <a:prstGeom prst="roundRect">
                                            <a:avLst>
                                              <a:gd name="adj" fmla="val 16667"/>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4E0B9F" w:rsidRDefault="00CD7E74" w:rsidP="007E360C">
                                              <w:pPr>
                                                <w:ind w:firstLine="0"/>
                                                <w:jc w:val="center"/>
                                                <w:rPr>
                                                  <w:sz w:val="20"/>
                                                  <w:lang w:val="en-US"/>
                                                </w:rPr>
                                              </w:pPr>
                                              <w:r w:rsidRPr="004E0B9F">
                                                <w:rPr>
                                                  <w:spacing w:val="10"/>
                                                  <w:sz w:val="20"/>
                                                </w:rPr>
                                                <w:t xml:space="preserve">Изпращане на </w:t>
                                              </w:r>
                                              <w:r>
                                                <w:rPr>
                                                  <w:spacing w:val="10"/>
                                                  <w:sz w:val="20"/>
                                                </w:rPr>
                                                <w:t>информация към ЕК</w:t>
                                              </w:r>
                                            </w:p>
                                          </w:txbxContent>
                                        </wps:txbx>
                                        <wps:bodyPr rot="0" vert="horz" wrap="square" lIns="91440" tIns="45720" rIns="91440" bIns="45720" anchor="ctr" anchorCtr="0" upright="1">
                                          <a:noAutofit/>
                                        </wps:bodyPr>
                                      </wps:wsp>
                                    </wpg:grpSp>
                                  </wpg:grpSp>
                                </wpg:grpSp>
                              </wpg:grpSp>
                            </wpg:grpSp>
                          </wpg:grpSp>
                        </wpg:grpSp>
                        <wps:wsp>
                          <wps:cNvPr id="683" name="AutoShape 65"/>
                          <wps:cNvSpPr>
                            <a:spLocks noChangeArrowheads="1"/>
                          </wps:cNvSpPr>
                          <wps:spPr bwMode="auto">
                            <a:xfrm>
                              <a:off x="3923594" y="174881"/>
                              <a:ext cx="2456180" cy="329565"/>
                            </a:xfrm>
                            <a:prstGeom prst="roundRect">
                              <a:avLst>
                                <a:gd name="adj" fmla="val 16667"/>
                              </a:avLst>
                            </a:prstGeom>
                            <a:solidFill>
                              <a:srgbClr val="FFFFFF"/>
                            </a:solidFill>
                            <a:ln w="12700">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7E360C">
                                <w:pPr>
                                  <w:ind w:firstLine="0"/>
                                  <w:jc w:val="center"/>
                                  <w:rPr>
                                    <w:sz w:val="20"/>
                                  </w:rPr>
                                </w:pPr>
                                <w:r>
                                  <w:rPr>
                                    <w:sz w:val="20"/>
                                  </w:rPr>
                                  <w:t>Насоки, съдържащи УК и УИ</w:t>
                                </w:r>
                              </w:p>
                            </w:txbxContent>
                          </wps:txbx>
                          <wps:bodyPr rot="0" vert="horz" wrap="square" lIns="91440" tIns="45720" rIns="91440" bIns="45720" anchor="t" anchorCtr="0" upright="1">
                            <a:noAutofit/>
                          </wps:bodyPr>
                        </wps:wsp>
                      </wpg:grpSp>
                    </wpg:wgp>
                  </a:graphicData>
                </a:graphic>
              </wp:inline>
            </w:drawing>
          </mc:Choice>
          <mc:Fallback>
            <w:pict>
              <v:group id="Group 2021" o:spid="_x0000_s1028" style="width:797.25pt;height:432.75pt;mso-position-horizontal-relative:char;mso-position-vertical-relative:line" coordorigin="-1710,-1125" coordsize="101059,60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">
                <v:roundrect id="_x0000_s1029" style="position:absolute;left:84543;top:1995;width:12049;height:83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" strokecolor="#4f81bd" strokeweight="1pt">
                  <v:stroke dashstyle="dash"/>
                  <v:shadow color="#868686"/>
                  <v:textbox>
                    <w:txbxContent>
                      <w:p w:rsidR="00CD7E74" w:rsidRPr="004E0B9F" w:rsidRDefault="00CD7E74" w:rsidP="007E360C">
                        <w:pPr>
                          <w:ind w:firstLine="0"/>
                          <w:jc w:val="center"/>
                          <w:rPr>
                            <w:sz w:val="20"/>
                          </w:rPr>
                        </w:pPr>
                        <w:r w:rsidRPr="004E0B9F">
                          <w:rPr>
                            <w:sz w:val="20"/>
                          </w:rPr>
                          <w:t>Регистрационен номер в ИСУН2020</w:t>
                        </w:r>
                      </w:p>
                    </w:txbxContent>
                  </v:textbox>
                </v:roundrect>
                <v:group id="Group 2023" o:spid="_x0000_s1030" style="position:absolute;left:-1710;top:-1125;width:101058;height:60601" coordorigin="-1710,-1125" coordsize="101059,606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group id="Group 2024" o:spid="_x0000_s1031" style="position:absolute;left:-1710;top:-1125;width:101058;height:60601" coordorigin="-1710,-1125" coordsize="101059,606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">
                    <v:roundrect id="AutoShape 259" o:spid="_x0000_s1032" style="position:absolute;left:70980;top:30333;width:26837;height:495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" strokecolor="#4f81bd" strokeweight="1pt">
                      <v:stroke dashstyle="dash"/>
                      <v:shadow color="#868686"/>
                      <v:textbox>
                        <w:txbxContent>
                          <w:p w:rsidR="00CD7E74" w:rsidRPr="004E0B9F" w:rsidRDefault="00CD7E74" w:rsidP="007E360C">
                            <w:pPr>
                              <w:ind w:firstLine="0"/>
                              <w:jc w:val="center"/>
                              <w:rPr>
                                <w:spacing w:val="10"/>
                                <w:sz w:val="20"/>
                              </w:rPr>
                            </w:pPr>
                            <w:r w:rsidRPr="004E0B9F">
                              <w:rPr>
                                <w:spacing w:val="10"/>
                                <w:sz w:val="20"/>
                              </w:rPr>
                              <w:t xml:space="preserve">Оценителни таблици на </w:t>
                            </w:r>
                          </w:p>
                          <w:p w:rsidR="00CD7E74" w:rsidRPr="004E0B9F" w:rsidRDefault="00CD7E74" w:rsidP="007E360C">
                            <w:pPr>
                              <w:ind w:firstLine="0"/>
                              <w:jc w:val="center"/>
                              <w:rPr>
                                <w:spacing w:val="10"/>
                                <w:sz w:val="20"/>
                              </w:rPr>
                            </w:pPr>
                            <w:r w:rsidRPr="004E0B9F">
                              <w:rPr>
                                <w:spacing w:val="10"/>
                                <w:sz w:val="20"/>
                              </w:rPr>
                              <w:t>членовете на  оценителна комисия</w:t>
                            </w:r>
                          </w:p>
                        </w:txbxContent>
                      </v:textbox>
                    </v:roundrect>
                    <v:group id="Group 2026" o:spid="_x0000_s1033" style="position:absolute;left:-1710;top:-1125;width:101058;height:60601" coordorigin="-1625,-1120" coordsize="96008,6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type id="_x0000_t202" coordsize="21600,21600" o:spt="202" path="m,l,21600r21600,l21600,xe">
                        <v:stroke joinstyle="miter"/>
                        <v:path gradientshapeok="t" o:connecttype="rect"/>
                      </v:shapetype>
                      <v:shape id="Text Box 183" o:spid="_x0000_s1034" type="#_x0000_t202" style="position:absolute;left:31788;top:55277;width:4096;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" filled="f" strokecolor="white" strokeweight=".5pt">
                        <v:textbox>
                          <w:txbxContent>
                            <w:p w:rsidR="00CD7E74" w:rsidRPr="004E0B9F" w:rsidRDefault="00CD7E74" w:rsidP="007E360C">
                              <w:pPr>
                                <w:ind w:firstLine="0"/>
                                <w:jc w:val="center"/>
                                <w:rPr>
                                  <w:sz w:val="20"/>
                                </w:rPr>
                              </w:pPr>
                              <w:r w:rsidRPr="004E0B9F">
                                <w:rPr>
                                  <w:sz w:val="20"/>
                                </w:rPr>
                                <w:t>да</w:t>
                              </w:r>
                            </w:p>
                          </w:txbxContent>
                        </v:textbox>
                      </v:shape>
                      <v:group id="Group 424" o:spid="_x0000_s1035" style="position:absolute;left:-1625;top:-1120;width:96007;height:60328" coordorigin="-1625,-1120" coordsize="96008,6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Text Box 183" o:spid="_x0000_s1036" type="#_x0000_t202" style="position:absolute;left:23137;top:38216;width:4096;height:2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" filled="f" strokecolor="white" strokeweight=".5pt">
                          <v:textbox>
                            <w:txbxContent>
                              <w:p w:rsidR="00CD7E74" w:rsidRPr="004E0B9F" w:rsidRDefault="00CD7E74" w:rsidP="007E360C">
                                <w:pPr>
                                  <w:ind w:firstLine="0"/>
                                  <w:jc w:val="center"/>
                                  <w:rPr>
                                    <w:sz w:val="20"/>
                                  </w:rPr>
                                </w:pPr>
                                <w:r w:rsidRPr="004E0B9F">
                                  <w:rPr>
                                    <w:sz w:val="20"/>
                                  </w:rPr>
                                  <w:t>да</w:t>
                                </w:r>
                              </w:p>
                            </w:txbxContent>
                          </v:textbox>
                        </v:shape>
                        <v:group id="Group 430" o:spid="_x0000_s1037" style="position:absolute;left:-1625;top:-1120;width:96007;height:60328" coordorigin="-1625,-1120" coordsize="96008,6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group id="Group 431" o:spid="_x0000_s1038" style="position:absolute;left:10807;top:13917;width:25288;height:9860" coordorigin="-21408,1689" coordsize="25287,9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Text Box 180" o:spid="_x0000_s1039" type="#_x0000_t202" style="position:absolute;left:-21408;top:1689;width:3346;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" filled="f" strokecolor="white" strokeweight=".5pt">
                              <v:textbox>
                                <w:txbxContent>
                                  <w:p w:rsidR="00CD7E74" w:rsidRPr="004E0B9F" w:rsidRDefault="00CD7E74" w:rsidP="007E360C">
                                    <w:pPr>
                                      <w:ind w:firstLine="0"/>
                                      <w:jc w:val="center"/>
                                      <w:rPr>
                                        <w:sz w:val="20"/>
                                      </w:rPr>
                                    </w:pPr>
                                    <w:r w:rsidRPr="004E0B9F">
                                      <w:rPr>
                                        <w:sz w:val="20"/>
                                      </w:rPr>
                                      <w:t>да</w:t>
                                    </w:r>
                                  </w:p>
                                </w:txbxContent>
                              </v:textbox>
                            </v:shape>
                            <v:group id="Group 1000" o:spid="_x0000_s1040" style="position:absolute;top:3374;width:3879;height:8175" coordorigin=",-3422" coordsize="3879,8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">
                              <v:shape id="Text Box 185" o:spid="_x0000_s1041" type="#_x0000_t202" style="position:absolute;left:532;top:-3422;width:3347;height:2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" filled="f" strokecolor="white" strokeweight=".5pt">
                                <v:textbox>
                                  <w:txbxContent>
                                    <w:p w:rsidR="00CD7E74" w:rsidRPr="004E0B9F" w:rsidRDefault="00CD7E74" w:rsidP="007E360C">
                                      <w:pPr>
                                        <w:ind w:firstLine="0"/>
                                        <w:jc w:val="center"/>
                                        <w:rPr>
                                          <w:sz w:val="20"/>
                                        </w:rPr>
                                      </w:pPr>
                                      <w:r w:rsidRPr="004E0B9F">
                                        <w:rPr>
                                          <w:sz w:val="20"/>
                                        </w:rPr>
                                        <w:t>не</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251" o:spid="_x0000_s1042" type="#_x0000_t67" style="position:absolute;left:2222;top:-199;width:502;height:90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" adj="15573" fillcolor="#4f81bd" strokecolor="#385d8a" strokeweight="2pt"/>
                              <v:shape id="AutoShape 253" o:spid="_x0000_s1043" type="#_x0000_t67" style="position:absolute;left:-311;top:3774;width:1296;height:673;rotation:-1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" adj="10800" fillcolor="#4f81bd" strokecolor="#385d8a" strokeweight="2pt"/>
                            </v:group>
                          </v:group>
                          <v:group id="Group 1022" o:spid="_x0000_s1044" style="position:absolute;left:-1625;top:-1120;width:96007;height:60328" coordorigin="-1675,-1114" coordsize="98939,59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">
                            <v:roundrect id="_x0000_s1045" style="position:absolute;left:-1675;top:44092;width:16091;height:764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" strokecolor="#4f81bd" strokeweight="1pt">
                              <v:stroke dashstyle="dash"/>
                              <v:shadow color="#868686"/>
                              <v:textbox>
                                <w:txbxContent>
                                  <w:p w:rsidR="00CD7E74" w:rsidRPr="004E0B9F" w:rsidRDefault="00CD7E74" w:rsidP="007E360C">
                                    <w:pPr>
                                      <w:ind w:firstLine="0"/>
                                      <w:jc w:val="center"/>
                                      <w:rPr>
                                        <w:sz w:val="20"/>
                                      </w:rPr>
                                    </w:pPr>
                                    <w:r w:rsidRPr="004E0B9F">
                                      <w:rPr>
                                        <w:sz w:val="20"/>
                                      </w:rPr>
                                      <w:t xml:space="preserve">Чрез ИСУН 2020 </w:t>
                                    </w:r>
                                  </w:p>
                                </w:txbxContent>
                              </v:textbox>
                            </v:roundrect>
                            <v:group id="Group 173" o:spid="_x0000_s1046" style="position:absolute;left:4654;top:33299;width:30900;height:14033" coordorigin="-6580,-3531" coordsize="22438,2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">
                              <v:shape id="Text Box 4" o:spid="_x0000_s1047" type="#_x0000_t202" style="position:absolute;left:-6580;top:-3531;width:22438;height:7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" strokecolor="white" strokeweight=".5pt">
                                <v:textbox>
                                  <w:txbxContent>
                                    <w:p w:rsidR="00CD7E74" w:rsidRPr="004E0B9F" w:rsidRDefault="00CD7E74" w:rsidP="007E360C">
                                      <w:pPr>
                                        <w:ind w:firstLine="0"/>
                                        <w:jc w:val="center"/>
                                        <w:rPr>
                                          <w:sz w:val="20"/>
                                        </w:rPr>
                                      </w:pPr>
                                      <w:r w:rsidRPr="004E0B9F">
                                        <w:rPr>
                                          <w:spacing w:val="10"/>
                                          <w:sz w:val="20"/>
                                        </w:rPr>
                                        <w:t xml:space="preserve">Ако са установени </w:t>
                                      </w:r>
                                      <w:proofErr w:type="spellStart"/>
                                      <w:r w:rsidRPr="004E0B9F">
                                        <w:rPr>
                                          <w:spacing w:val="10"/>
                                          <w:sz w:val="20"/>
                                        </w:rPr>
                                        <w:t>непълноти</w:t>
                                      </w:r>
                                      <w:proofErr w:type="spellEnd"/>
                                      <w:r w:rsidRPr="004E0B9F">
                                        <w:rPr>
                                          <w:spacing w:val="10"/>
                                          <w:sz w:val="20"/>
                                        </w:rPr>
                                        <w:t xml:space="preserve"> и/или </w:t>
                                      </w:r>
                                      <w:proofErr w:type="spellStart"/>
                                      <w:r w:rsidRPr="004E0B9F">
                                        <w:rPr>
                                          <w:spacing w:val="10"/>
                                          <w:sz w:val="20"/>
                                        </w:rPr>
                                        <w:t>нередовности</w:t>
                                      </w:r>
                                      <w:proofErr w:type="spellEnd"/>
                                      <w:r w:rsidRPr="004E0B9F">
                                        <w:rPr>
                                          <w:spacing w:val="10"/>
                                          <w:sz w:val="20"/>
                                        </w:rPr>
                                        <w:t xml:space="preserve"> на проектното предложение?</w:t>
                                      </w:r>
                                    </w:p>
                                  </w:txbxContent>
                                </v:textbox>
                              </v:shape>
                              <v:roundrect id="Rounded Rectangle 1" o:spid="_x0000_s1048" style="position:absolute;left:-107;top:7211;width:14954;height:1005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" fillcolor="#a3c4ff" strokecolor="#4a7ebb">
                                <v:fill color2="#e5eeff" rotate="t" angle="180" colors="0 #a3c4ff;22938f #bfd5ff;1 #e5eeff" focus="100%" type="gradient"/>
                                <v:shadow on="t" color="black" opacity="24903f" origin=",.5" offset="0,.55556mm"/>
                                <v:textbox>
                                  <w:txbxContent>
                                    <w:p w:rsidR="00CD7E74" w:rsidRPr="004E0B9F" w:rsidRDefault="00CD7E74" w:rsidP="007E360C">
                                      <w:pPr>
                                        <w:ind w:firstLine="0"/>
                                        <w:jc w:val="center"/>
                                        <w:rPr>
                                          <w:sz w:val="20"/>
                                          <w:lang w:val="en-US"/>
                                        </w:rPr>
                                      </w:pPr>
                                      <w:r w:rsidRPr="004E0B9F">
                                        <w:rPr>
                                          <w:spacing w:val="10"/>
                                          <w:sz w:val="20"/>
                                        </w:rPr>
                                        <w:t xml:space="preserve">Връщане на ФК за отстраняване на </w:t>
                                      </w:r>
                                      <w:proofErr w:type="spellStart"/>
                                      <w:r w:rsidRPr="004E0B9F">
                                        <w:rPr>
                                          <w:spacing w:val="10"/>
                                          <w:sz w:val="20"/>
                                        </w:rPr>
                                        <w:t>непълнотите</w:t>
                                      </w:r>
                                      <w:proofErr w:type="spellEnd"/>
                                      <w:r w:rsidRPr="004E0B9F">
                                        <w:rPr>
                                          <w:spacing w:val="10"/>
                                          <w:sz w:val="20"/>
                                        </w:rPr>
                                        <w:t xml:space="preserve"> и/или </w:t>
                                      </w:r>
                                      <w:proofErr w:type="spellStart"/>
                                      <w:r w:rsidRPr="004E0B9F">
                                        <w:rPr>
                                          <w:spacing w:val="10"/>
                                          <w:sz w:val="20"/>
                                        </w:rPr>
                                        <w:t>нередовности</w:t>
                                      </w:r>
                                      <w:proofErr w:type="spellEnd"/>
                                    </w:p>
                                  </w:txbxContent>
                                </v:textbox>
                              </v:roundrect>
                              <v:shape id="AutoShape 194" o:spid="_x0000_s1049" type="#_x0000_t67" style="position:absolute;left:14676;top:2422;width:1296;height:67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" adj="10800" fillcolor="#4f81bd" strokecolor="#385d8a" strokeweight="2pt"/>
                            </v:group>
                            <v:group id="Group 1019" o:spid="_x0000_s1050" style="position:absolute;top:-1114;width:97264;height:48446" coordorigin=",-1114" coordsize="97264,48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TLx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1gk6Qv8vglPQK5/AAAA//8DAFBLAQItABQABgAIAAAAIQDb4fbL7gAAAIUBAAATAAAAAAAA&#10;AAAAAAAAAAAAAABbQ29udGVudF9UeXBlc10ueG1sUEsBAi0AFAAGAAgAAAAhAFr0LFu/AAAAFQEA&#10;AAsAAAAAAAAAAAAAAAAAHwEAAF9yZWxzLy5yZWxzUEsBAi0AFAAGAAgAAAAhAAyZMvHHAAAA3QAA&#10;AA8AAAAAAAAAAAAAAAAABwIAAGRycy9kb3ducmV2LnhtbFBLBQYAAAAAAwADALcAAAD7AgAAAAA=&#10;">
                              <v:group id="Group 182" o:spid="_x0000_s1051" style="position:absolute;left:23088;top:10611;width:72873;height:36721" coordorigin="-20879,-4781" coordsize="72873,36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roundrect id="Rounded Rectangle 1" o:spid="_x0000_s1052" style="position:absolute;left:-7173;top:1224;width:32511;height:3025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" fillcolor="#dbeef4" strokecolor="#4a7ebb">
                                  <v:fill color2="#e5eeff" rotate="t" angle="180" colors="0 #dbeef4;1 white;1 #e5eeff" focus="100%" type="gradient"/>
                                  <v:shadow on="t" color="black" opacity="24903f" origin=",.5" offset="0,.55556mm"/>
                                  <v:textbox>
                                    <w:txbxContent>
                                      <w:p w:rsidR="00CD7E74" w:rsidRPr="004E0B9F" w:rsidRDefault="00CD7E74" w:rsidP="007E360C">
                                        <w:pPr>
                                          <w:ind w:firstLine="0"/>
                                          <w:jc w:val="center"/>
                                          <w:rPr>
                                            <w:spacing w:val="10"/>
                                            <w:sz w:val="20"/>
                                          </w:rPr>
                                        </w:pPr>
                                        <w:r w:rsidRPr="004E0B9F">
                                          <w:rPr>
                                            <w:spacing w:val="10"/>
                                            <w:sz w:val="20"/>
                                          </w:rPr>
                                          <w:t>Оценка на проектните предложения: административно съответствие, допустимост</w:t>
                                        </w:r>
                                      </w:p>
                                      <w:p w:rsidR="00CD7E74" w:rsidRPr="004E0B9F" w:rsidRDefault="00CD7E74" w:rsidP="007E360C">
                                        <w:pPr>
                                          <w:ind w:firstLine="0"/>
                                          <w:jc w:val="center"/>
                                          <w:rPr>
                                            <w:spacing w:val="10"/>
                                            <w:sz w:val="20"/>
                                          </w:rPr>
                                        </w:pPr>
                                        <w:r w:rsidRPr="004E0B9F">
                                          <w:rPr>
                                            <w:spacing w:val="10"/>
                                            <w:sz w:val="20"/>
                                          </w:rPr>
                                          <w:t>техническа и финансова оценка</w:t>
                                        </w:r>
                                      </w:p>
                                      <w:p w:rsidR="00CD7E74" w:rsidRDefault="00CD7E74"/>
                                    </w:txbxContent>
                                  </v:textbox>
                                </v:roundrect>
                                <v:shape id="AutoShape 201" o:spid="_x0000_s1053" type="#_x0000_t67" style="position:absolute;left:-20879;top:23107;width:1295;height: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" adj="10800" fillcolor="#4f81bd" strokecolor="#385d8a" strokeweight="2pt"/>
                                <v:roundrect id="AutoShape 202" o:spid="_x0000_s1054" style="position:absolute;left:23064;top:-4781;width:28833;height:48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" strokecolor="#4f81bd" strokeweight="1pt">
                                  <v:stroke dashstyle="dash"/>
                                  <v:shadow color="#868686"/>
                                  <v:textbox>
                                    <w:txbxContent>
                                      <w:p w:rsidR="00CD7E74" w:rsidRPr="004E0B9F" w:rsidRDefault="00CD7E74" w:rsidP="007E360C">
                                        <w:pPr>
                                          <w:ind w:firstLine="0"/>
                                          <w:jc w:val="center"/>
                                          <w:rPr>
                                            <w:sz w:val="20"/>
                                          </w:rPr>
                                        </w:pPr>
                                        <w:r w:rsidRPr="004E0B9F">
                                          <w:rPr>
                                            <w:sz w:val="20"/>
                                          </w:rPr>
                                          <w:t>Решение за сформиране на</w:t>
                                        </w:r>
                                      </w:p>
                                      <w:p w:rsidR="00CD7E74" w:rsidRPr="004E0B9F" w:rsidRDefault="00CD7E74" w:rsidP="007E360C">
                                        <w:pPr>
                                          <w:ind w:firstLine="0"/>
                                          <w:jc w:val="center"/>
                                          <w:rPr>
                                            <w:sz w:val="20"/>
                                          </w:rPr>
                                        </w:pPr>
                                        <w:r w:rsidRPr="004E0B9F">
                                          <w:rPr>
                                            <w:sz w:val="20"/>
                                          </w:rPr>
                                          <w:t xml:space="preserve">Оценителна комисия </w:t>
                                        </w:r>
                                      </w:p>
                                    </w:txbxContent>
                                  </v:textbox>
                                </v:roundrect>
                                <v:roundrect id="Rounded Rectangle 1" o:spid="_x0000_s1055" style="position:absolute;left:-8244;top:-3528;width:33768;height:28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" fillcolor="#a3c4ff" strokecolor="#4a7ebb">
                                  <v:fill color2="#e5eeff" rotate="t" angle="180" colors="0 #a3c4ff;22938f #bfd5ff;1 #e5eeff" focus="100%" type="gradient"/>
                                  <v:shadow on="t" color="black" opacity="24903f" origin=",.5" offset="0,.55556mm"/>
                                  <v:textbox>
                                    <w:txbxContent>
                                      <w:p w:rsidR="00CD7E74" w:rsidRPr="004E0B9F" w:rsidRDefault="00CD7E74" w:rsidP="007E360C">
                                        <w:pPr>
                                          <w:ind w:firstLine="0"/>
                                          <w:jc w:val="center"/>
                                          <w:rPr>
                                            <w:sz w:val="20"/>
                                          </w:rPr>
                                        </w:pPr>
                                        <w:r w:rsidRPr="004E0B9F">
                                          <w:rPr>
                                            <w:spacing w:val="10"/>
                                            <w:sz w:val="20"/>
                                          </w:rPr>
                                          <w:t>Сформиране на оценителна комисия</w:t>
                                        </w:r>
                                      </w:p>
                                    </w:txbxContent>
                                  </v:textbox>
                                </v:roundrect>
                                <v:shape id="AutoShape 204" o:spid="_x0000_s1056" type="#_x0000_t67" style="position:absolute;left:6409;top:114;width:1297;height: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" adj="10800" fillcolor="#4f81bd" strokecolor="#385d8a" strokeweight="2pt"/>
                                <v:roundrect id="AutoShape 74" o:spid="_x0000_s1057" style="position:absolute;left:24469;top:4012;width:27060;height:671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" strokecolor="#4f81bd" strokeweight="1pt">
                                  <v:stroke dashstyle="dash"/>
                                  <v:shadow color="#868686"/>
                                  <v:textbox>
                                    <w:txbxContent>
                                      <w:p w:rsidR="00CD7E74" w:rsidRPr="004E0B9F" w:rsidRDefault="00CD7E74" w:rsidP="007E360C">
                                        <w:pPr>
                                          <w:ind w:firstLine="0"/>
                                          <w:jc w:val="center"/>
                                          <w:rPr>
                                            <w:spacing w:val="10"/>
                                            <w:sz w:val="20"/>
                                          </w:rPr>
                                        </w:pPr>
                                        <w:r w:rsidRPr="004E0B9F">
                                          <w:rPr>
                                            <w:spacing w:val="10"/>
                                            <w:sz w:val="20"/>
                                          </w:rPr>
                                          <w:t xml:space="preserve">Декларации за липса на конфликт на интереси и поверителност и </w:t>
                                        </w:r>
                                      </w:p>
                                      <w:p w:rsidR="00CD7E74" w:rsidRPr="004E0B9F" w:rsidRDefault="00CD7E74" w:rsidP="007E360C">
                                        <w:pPr>
                                          <w:ind w:firstLine="0"/>
                                          <w:jc w:val="center"/>
                                          <w:rPr>
                                            <w:sz w:val="20"/>
                                          </w:rPr>
                                        </w:pPr>
                                        <w:r w:rsidRPr="004E0B9F">
                                          <w:rPr>
                                            <w:spacing w:val="10"/>
                                            <w:sz w:val="20"/>
                                          </w:rPr>
                                          <w:t>Контролен лист за проверка</w:t>
                                        </w:r>
                                      </w:p>
                                    </w:txbxContent>
                                  </v:textbox>
                                </v:roundrect>
                                <v:roundrect id="Rounded Rectangle 1" o:spid="_x0000_s1058" style="position:absolute;left:-7787;top:8132;width:34770;height:57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" fillcolor="#a3c4ff" strokecolor="#4a7ebb">
                                  <v:fill color2="#e5eeff" rotate="t" angle="180" colors="0 #a3c4ff;22938f #bfd5ff;1 #e5eeff" focus="100%" type="gradient"/>
                                  <v:shadow on="t" color="black" opacity="24903f" origin=",.5" offset="0,.55556mm"/>
                                  <v:textbox>
                                    <w:txbxContent>
                                      <w:p w:rsidR="00CD7E74" w:rsidRPr="00EF15E3" w:rsidRDefault="00CD7E74" w:rsidP="007E360C">
                                        <w:pPr>
                                          <w:ind w:firstLine="0"/>
                                          <w:jc w:val="center"/>
                                          <w:rPr>
                                            <w:spacing w:val="10"/>
                                            <w:sz w:val="18"/>
                                            <w:szCs w:val="18"/>
                                          </w:rPr>
                                        </w:pPr>
                                        <w:r w:rsidRPr="00EF15E3">
                                          <w:rPr>
                                            <w:spacing w:val="10"/>
                                            <w:sz w:val="18"/>
                                            <w:szCs w:val="18"/>
                                          </w:rPr>
                                          <w:t>Първо заседание на оценителната комисия и подписване на декларации за липса на конфликт на интереси и поверителност</w:t>
                                        </w:r>
                                      </w:p>
                                      <w:p w:rsidR="00CD7E74" w:rsidRPr="004E0B9F" w:rsidRDefault="00CD7E74" w:rsidP="007E360C">
                                        <w:pPr>
                                          <w:ind w:firstLine="0"/>
                                          <w:jc w:val="center"/>
                                          <w:rPr>
                                            <w:sz w:val="20"/>
                                          </w:rPr>
                                        </w:pPr>
                                      </w:p>
                                    </w:txbxContent>
                                  </v:textbox>
                                </v:roundrect>
                                <v:group id="Group 166" o:spid="_x0000_s1059" style="position:absolute;left:-5473;top:14620;width:57467;height:17319" coordorigin="-8826,-13116" coordsize="57468,1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">
                                  <v:roundrect id="AutoShape 208" o:spid="_x0000_s1060" style="position:absolute;left:21514;top:-7524;width:27128;height:455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" strokecolor="#4f81bd" strokeweight="1pt">
                                    <v:stroke dashstyle="dash"/>
                                    <v:shadow color="#868686"/>
                                    <v:textbox>
                                      <w:txbxContent>
                                        <w:p w:rsidR="00CD7E74" w:rsidRPr="004E0B9F" w:rsidRDefault="00CD7E74" w:rsidP="007E360C">
                                          <w:pPr>
                                            <w:ind w:firstLine="0"/>
                                            <w:jc w:val="center"/>
                                            <w:rPr>
                                              <w:sz w:val="20"/>
                                            </w:rPr>
                                          </w:pPr>
                                          <w:r w:rsidRPr="004E0B9F">
                                            <w:rPr>
                                              <w:spacing w:val="10"/>
                                              <w:sz w:val="20"/>
                                            </w:rPr>
                                            <w:t>Контролен лист за проверка на липса на двойно финансиране</w:t>
                                          </w:r>
                                        </w:p>
                                        <w:p w:rsidR="00CD7E74" w:rsidRPr="004E0B9F" w:rsidRDefault="00CD7E74" w:rsidP="007E360C">
                                          <w:pPr>
                                            <w:ind w:firstLine="0"/>
                                            <w:jc w:val="center"/>
                                            <w:rPr>
                                              <w:sz w:val="20"/>
                                            </w:rPr>
                                          </w:pPr>
                                        </w:p>
                                      </w:txbxContent>
                                    </v:textbox>
                                  </v:roundrect>
                                  <v:roundrect id="Rounded Rectangle 1" o:spid="_x0000_s1061" style="position:absolute;left:-8826;top:-13116;width:29612;height:46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" fillcolor="#a3c4ff" strokecolor="#4a7ebb">
                                    <v:fill color2="#e5eeff" rotate="t" angle="180" colors="0 #a3c4ff;22938f #bfd5ff;1 #e5eeff" focus="100%" type="gradient"/>
                                    <v:shadow on="t" color="black" opacity="24903f" origin=",.5" offset="0,.55556mm"/>
                                    <v:textbox>
                                      <w:txbxContent>
                                        <w:p w:rsidR="00CD7E74" w:rsidRPr="004E0B9F" w:rsidRDefault="00CD7E74" w:rsidP="007E360C">
                                          <w:pPr>
                                            <w:ind w:firstLine="0"/>
                                            <w:jc w:val="center"/>
                                            <w:rPr>
                                              <w:sz w:val="20"/>
                                            </w:rPr>
                                          </w:pPr>
                                          <w:r w:rsidRPr="004E0B9F">
                                            <w:rPr>
                                              <w:spacing w:val="10"/>
                                              <w:sz w:val="20"/>
                                            </w:rPr>
                                            <w:t>Проверка: за административен, финансов и оперативен капацитет на бенефициента</w:t>
                                          </w:r>
                                        </w:p>
                                      </w:txbxContent>
                                    </v:textbox>
                                  </v:roundrect>
                                  <v:roundrect id="Rounded Rectangle 1" o:spid="_x0000_s1062" style="position:absolute;left:-8646;top:-7524;width:29612;height:336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" fillcolor="#a3c4ff" strokecolor="#4a7ebb">
                                    <v:fill color2="#e5eeff" rotate="t" angle="180" colors="0 #a3c4ff;22938f #bfd5ff;1 #e5eeff" focus="100%" type="gradient"/>
                                    <v:shadow on="t" color="black" opacity="24903f" origin=",.5" offset="0,.55556mm"/>
                                    <v:textbox>
                                      <w:txbxContent>
                                        <w:p w:rsidR="00CD7E74" w:rsidRPr="004E0B9F" w:rsidRDefault="00CD7E74" w:rsidP="007E360C">
                                          <w:pPr>
                                            <w:ind w:firstLine="0"/>
                                            <w:jc w:val="center"/>
                                            <w:rPr>
                                              <w:sz w:val="20"/>
                                            </w:rPr>
                                          </w:pPr>
                                          <w:r w:rsidRPr="004E0B9F">
                                            <w:rPr>
                                              <w:spacing w:val="10"/>
                                              <w:sz w:val="20"/>
                                            </w:rPr>
                                            <w:t>Проверка за липса на двойно финансиране</w:t>
                                          </w:r>
                                        </w:p>
                                      </w:txbxContent>
                                    </v:textbox>
                                  </v:roundrect>
                                  <v:roundrect id="AutoShape 211" o:spid="_x0000_s1063" style="position:absolute;left:20279;top:-2321;width:23007;height:472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" strokecolor="#4f81bd" strokeweight="1pt">
                                    <v:stroke dashstyle="dash"/>
                                    <v:shadow color="#868686"/>
                                    <v:textbox>
                                      <w:txbxContent>
                                        <w:p w:rsidR="00CD7E74" w:rsidRPr="004E0B9F" w:rsidRDefault="00CD7E74" w:rsidP="007E360C">
                                          <w:pPr>
                                            <w:ind w:firstLine="0"/>
                                            <w:jc w:val="center"/>
                                            <w:rPr>
                                              <w:spacing w:val="10"/>
                                              <w:sz w:val="20"/>
                                            </w:rPr>
                                          </w:pPr>
                                          <w:r w:rsidRPr="004E0B9F">
                                            <w:rPr>
                                              <w:spacing w:val="10"/>
                                              <w:sz w:val="20"/>
                                            </w:rPr>
                                            <w:t xml:space="preserve">Контролни листа за проверка за </w:t>
                                          </w:r>
                                        </w:p>
                                        <w:p w:rsidR="00CD7E74" w:rsidRPr="004E0B9F" w:rsidRDefault="00CD7E74" w:rsidP="007E360C">
                                          <w:pPr>
                                            <w:ind w:firstLine="0"/>
                                            <w:jc w:val="center"/>
                                            <w:rPr>
                                              <w:sz w:val="20"/>
                                            </w:rPr>
                                          </w:pPr>
                                          <w:r w:rsidRPr="004E0B9F">
                                            <w:rPr>
                                              <w:spacing w:val="10"/>
                                              <w:sz w:val="20"/>
                                            </w:rPr>
                                            <w:t>държавни помощи</w:t>
                                          </w:r>
                                        </w:p>
                                        <w:p w:rsidR="00CD7E74" w:rsidRPr="004E0B9F" w:rsidRDefault="00CD7E74" w:rsidP="007E360C">
                                          <w:pPr>
                                            <w:ind w:firstLine="0"/>
                                            <w:jc w:val="center"/>
                                            <w:rPr>
                                              <w:sz w:val="20"/>
                                            </w:rPr>
                                          </w:pPr>
                                        </w:p>
                                      </w:txbxContent>
                                    </v:textbox>
                                  </v:roundrect>
                                  <v:roundrect id="Rounded Rectangle 1" o:spid="_x0000_s1064" style="position:absolute;left:-8646;top:-3208;width:29412;height:741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" fillcolor="#a3c4ff" strokecolor="#4a7ebb">
                                    <v:fill color2="#e5eeff" rotate="t" angle="180" colors="0 #a3c4ff;22938f #bfd5ff;1 #e5eeff" focus="100%" type="gradient"/>
                                    <v:shadow on="t" color="black" opacity="24903f" origin=",.5" offset="0,.55556mm"/>
                                    <v:textbox>
                                      <w:txbxContent>
                                        <w:p w:rsidR="00CD7E74" w:rsidRPr="004E0B9F" w:rsidRDefault="00CD7E74" w:rsidP="007E360C">
                                          <w:pPr>
                                            <w:ind w:firstLine="0"/>
                                            <w:jc w:val="center"/>
                                            <w:rPr>
                                              <w:sz w:val="20"/>
                                            </w:rPr>
                                          </w:pPr>
                                          <w:r w:rsidRPr="004E0B9F">
                                            <w:rPr>
                                              <w:spacing w:val="10"/>
                                              <w:sz w:val="20"/>
                                            </w:rPr>
                                            <w:t>Проверка: за наличие на държавни помощи и за съвместимост на държавна помощ с вътрешния пазар</w:t>
                                          </w:r>
                                        </w:p>
                                      </w:txbxContent>
                                    </v:textbox>
                                  </v:roundrect>
                                </v:group>
                              </v:group>
                              <v:group id="Group 1017" o:spid="_x0000_s1065" style="position:absolute;left:2167;top:-1114;width:95097;height:15871" coordorigin="186,-1114" coordsize="95097,15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">
                                <v:group id="Group 60" o:spid="_x0000_s1066" style="position:absolute;left:8165;top:5537;width:73248;height:9220" coordorigin="-111,4679" coordsize="11535,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Text Box 4" o:spid="_x0000_s1067" type="#_x0000_t202" style="position:absolute;left:-111;top:5325;width:3782;height: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" strokecolor="white" strokeweight=".5pt">
                                    <v:textbox>
                                      <w:txbxContent>
                                        <w:p w:rsidR="00CD7E74" w:rsidRPr="004E0B9F" w:rsidRDefault="00CD7E74" w:rsidP="007E360C">
                                          <w:pPr>
                                            <w:ind w:firstLine="0"/>
                                            <w:jc w:val="center"/>
                                            <w:rPr>
                                              <w:sz w:val="20"/>
                                            </w:rPr>
                                          </w:pPr>
                                          <w:r w:rsidRPr="004E0B9F">
                                            <w:rPr>
                                              <w:sz w:val="20"/>
                                            </w:rPr>
                                            <w:t xml:space="preserve">В случай, че проектното предложение  е за </w:t>
                                          </w:r>
                                          <w:r>
                                            <w:rPr>
                                              <w:sz w:val="20"/>
                                            </w:rPr>
                                            <w:t>инвестиционен</w:t>
                                          </w:r>
                                          <w:r w:rsidRPr="004E0B9F">
                                            <w:rPr>
                                              <w:sz w:val="20"/>
                                            </w:rPr>
                                            <w:t xml:space="preserve"> проект:</w:t>
                                          </w:r>
                                        </w:p>
                                      </w:txbxContent>
                                    </v:textbox>
                                  </v:shape>
                                  <v:shape id="AutoShape 218" o:spid="_x0000_s1068" type="#_x0000_t67" style="position:absolute;left:6250;top:5517;width:204;height: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" adj="10800" fillcolor="#4f81bd" strokecolor="#385d8a" strokeweight="2pt"/>
                                  <v:shape id="AutoShape 219" o:spid="_x0000_s1069" type="#_x0000_t67" style="position:absolute;left:295;top:5892;width:229;height: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" adj="10800" fillcolor="#4f81bd" strokecolor="#385d8a" strokeweight="2pt"/>
                                  <v:roundrect id="_x0000_s1070" style="position:absolute;left:8268;top:4679;width:3156;height:57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" strokecolor="#4f81bd" strokeweight="1pt">
                                    <v:stroke dashstyle="dash"/>
                                    <v:shadow color="#868686"/>
                                    <v:textbox>
                                      <w:txbxContent>
                                        <w:p w:rsidR="00CD7E74" w:rsidRPr="004E0B9F" w:rsidRDefault="00CD7E74" w:rsidP="007E360C">
                                          <w:pPr>
                                            <w:ind w:firstLine="0"/>
                                            <w:jc w:val="center"/>
                                            <w:rPr>
                                              <w:sz w:val="20"/>
                                            </w:rPr>
                                          </w:pPr>
                                          <w:r w:rsidRPr="004E0B9F">
                                            <w:rPr>
                                              <w:sz w:val="20"/>
                                            </w:rPr>
                                            <w:t>ФК за техническа помощ/ФП</w:t>
                                          </w:r>
                                        </w:p>
                                      </w:txbxContent>
                                    </v:textbox>
                                  </v:roundrect>
                                  <v:roundrect id="Rounded Rectangle 1" o:spid="_x0000_s1071" style="position:absolute;left:4247;top:4679;width:4252;height:72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" fillcolor="#a3c4ff" strokecolor="#4a7ebb">
                                    <v:fill color2="#e5eeff" rotate="t" angle="180" colors="0 #a3c4ff;22938f #bfd5ff;1 #e5eeff" focus="100%" type="gradient"/>
                                    <v:shadow on="t" color="black" opacity="24903f" origin=",.5" offset="0,.55556mm"/>
                                    <v:textbox>
                                      <w:txbxContent>
                                        <w:p w:rsidR="00CD7E74" w:rsidRPr="004E0B9F" w:rsidRDefault="00CD7E74" w:rsidP="00E727E1">
                                          <w:pPr>
                                            <w:ind w:firstLine="0"/>
                                            <w:jc w:val="center"/>
                                            <w:rPr>
                                              <w:sz w:val="20"/>
                                              <w:lang w:val="en-US"/>
                                            </w:rPr>
                                          </w:pPr>
                                          <w:r w:rsidRPr="004E0B9F">
                                            <w:rPr>
                                              <w:spacing w:val="10"/>
                                              <w:sz w:val="20"/>
                                            </w:rPr>
                                            <w:t>Подаване на проектно предложение</w:t>
                                          </w:r>
                                          <w:r>
                                            <w:rPr>
                                              <w:spacing w:val="10"/>
                                              <w:sz w:val="20"/>
                                            </w:rPr>
                                            <w:t xml:space="preserve"> </w:t>
                                          </w:r>
                                          <w:r>
                                            <w:rPr>
                                              <w:sz w:val="20"/>
                                            </w:rPr>
                                            <w:t xml:space="preserve">чрез </w:t>
                                          </w:r>
                                          <w:r w:rsidRPr="004E0B9F">
                                            <w:rPr>
                                              <w:sz w:val="20"/>
                                            </w:rPr>
                                            <w:t xml:space="preserve"> ИСУН2020</w:t>
                                          </w:r>
                                        </w:p>
                                        <w:p w:rsidR="00CD7E74" w:rsidRPr="004E0B9F" w:rsidRDefault="00CD7E74" w:rsidP="007E360C">
                                          <w:pPr>
                                            <w:ind w:firstLine="0"/>
                                            <w:jc w:val="center"/>
                                            <w:rPr>
                                              <w:sz w:val="20"/>
                                            </w:rPr>
                                          </w:pPr>
                                        </w:p>
                                      </w:txbxContent>
                                    </v:textbox>
                                  </v:roundrect>
                                </v:group>
                                <v:shape id="Text Box 191" o:spid="_x0000_s1072" type="#_x0000_t202" style="position:absolute;left:186;top:-1114;width:95097;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" strokecolor="white" strokeweight=".5pt">
                                  <v:textbox>
                                    <w:txbxContent>
                                      <w:p w:rsidR="00CD7E74" w:rsidRPr="004E0B9F" w:rsidRDefault="00CD7E74" w:rsidP="007E360C">
                                        <w:pPr>
                                          <w:ind w:firstLine="0"/>
                                          <w:jc w:val="center"/>
                                          <w:rPr>
                                            <w:sz w:val="20"/>
                                          </w:rPr>
                                        </w:pPr>
                                        <w:r w:rsidRPr="004E0B9F">
                                          <w:rPr>
                                            <w:b/>
                                            <w:sz w:val="20"/>
                                            <w:u w:val="single"/>
                                          </w:rPr>
                                          <w:t>Принципна схема на процедурата за предоставяне</w:t>
                                        </w:r>
                                        <w:r w:rsidR="00457FB0">
                                          <w:rPr>
                                            <w:b/>
                                            <w:sz w:val="20"/>
                                            <w:u w:val="single"/>
                                          </w:rPr>
                                          <w:t xml:space="preserve"> на БФП</w:t>
                                        </w:r>
                                        <w:r w:rsidRPr="004E0B9F">
                                          <w:rPr>
                                            <w:b/>
                                            <w:sz w:val="20"/>
                                            <w:u w:val="single"/>
                                          </w:rPr>
                                          <w:t xml:space="preserve"> по </w:t>
                                        </w:r>
                                        <w:r>
                                          <w:rPr>
                                            <w:b/>
                                            <w:sz w:val="20"/>
                                            <w:u w:val="single"/>
                                          </w:rPr>
                                          <w:t>ПТС</w:t>
                                        </w:r>
                                      </w:p>
                                    </w:txbxContent>
                                  </v:textbox>
                                </v:shape>
                              </v:group>
                              <v:group id="Group 999" o:spid="_x0000_s1073" style="position:absolute;top:15810;width:32759;height:17489" coordorigin=",-344" coordsize="32759,17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">
                                <v:shape id="Text Box 183" o:spid="_x0000_s1074" type="#_x0000_t202" style="position:absolute;left:23469;top:4038;width:4221;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" filled="f" strokecolor="white" strokeweight=".5pt">
                                  <v:textbox>
                                    <w:txbxContent>
                                      <w:p w:rsidR="00CD7E74" w:rsidRPr="004E0B9F" w:rsidRDefault="00CD7E74" w:rsidP="007E360C">
                                        <w:pPr>
                                          <w:ind w:firstLine="0"/>
                                          <w:jc w:val="center"/>
                                          <w:rPr>
                                            <w:sz w:val="20"/>
                                          </w:rPr>
                                        </w:pPr>
                                        <w:r w:rsidRPr="004E0B9F">
                                          <w:rPr>
                                            <w:sz w:val="20"/>
                                          </w:rPr>
                                          <w:t>да</w:t>
                                        </w:r>
                                      </w:p>
                                    </w:txbxContent>
                                  </v:textbox>
                                </v:shape>
                                <v:roundrect id="_x0000_s1075" style="position:absolute;top:4953;width:14262;height:1219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" strokecolor="#4f81bd" strokeweight="1pt">
                                  <v:stroke dashstyle="dash"/>
                                  <v:shadow color="#868686"/>
                                  <v:textbox>
                                    <w:txbxContent>
                                      <w:p w:rsidR="00CD7E74" w:rsidRPr="004E0B9F" w:rsidRDefault="00CD7E74" w:rsidP="007E360C">
                                        <w:pPr>
                                          <w:ind w:firstLine="0"/>
                                          <w:jc w:val="center"/>
                                          <w:rPr>
                                            <w:sz w:val="20"/>
                                          </w:rPr>
                                        </w:pPr>
                                        <w:r w:rsidRPr="004E0B9F">
                                          <w:rPr>
                                            <w:sz w:val="20"/>
                                          </w:rPr>
                                          <w:t xml:space="preserve">Становище на </w:t>
                                        </w:r>
                                        <w:proofErr w:type="spellStart"/>
                                        <w:r>
                                          <w:rPr>
                                            <w:sz w:val="20"/>
                                          </w:rPr>
                                          <w:t>Джаспърс</w:t>
                                        </w:r>
                                        <w:proofErr w:type="spellEnd"/>
                                        <w:r w:rsidRPr="004E0B9F">
                                          <w:rPr>
                                            <w:sz w:val="20"/>
                                          </w:rPr>
                                          <w:t xml:space="preserve"> от извършен преглед на качеството на ФК за </w:t>
                                        </w:r>
                                        <w:r>
                                          <w:rPr>
                                            <w:sz w:val="20"/>
                                          </w:rPr>
                                          <w:t>инвестиционен</w:t>
                                        </w:r>
                                        <w:r w:rsidRPr="004E0B9F">
                                          <w:rPr>
                                            <w:sz w:val="20"/>
                                          </w:rPr>
                                          <w:t xml:space="preserve"> проект</w:t>
                                        </w:r>
                                      </w:p>
                                    </w:txbxContent>
                                  </v:textbox>
                                </v:roundrect>
                                <v:shape id="AutoShape 226" o:spid="_x0000_s1076" type="#_x0000_t67" style="position:absolute;left:21640;top:5486;width:1296;height: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" adj="10800" fillcolor="#4f81bd" strokecolor="#385d8a" strokeweight="2pt"/>
                                <v:roundrect id="Rounded Rectangle 1" o:spid="_x0000_s1077" style="position:absolute;left:12725;top:6934;width:18059;height:79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" fillcolor="#a3c4ff" strokecolor="#4a7ebb">
                                  <v:fill color2="#e5eeff" rotate="t" angle="180" colors="0 #a3c4ff;22938f #bfd5ff;1 #e5eeff" focus="100%" type="gradient"/>
                                  <v:shadow on="t" color="black" opacity="24903f" origin=",.5" offset="0,.55556mm"/>
                                  <v:textbox>
                                    <w:txbxContent>
                                      <w:p w:rsidR="00CD7E74" w:rsidRPr="004E0B9F" w:rsidRDefault="00CD7E74" w:rsidP="007E360C">
                                        <w:pPr>
                                          <w:ind w:firstLine="0"/>
                                          <w:jc w:val="center"/>
                                          <w:rPr>
                                            <w:spacing w:val="10"/>
                                            <w:sz w:val="20"/>
                                          </w:rPr>
                                        </w:pPr>
                                        <w:r w:rsidRPr="004E0B9F">
                                          <w:rPr>
                                            <w:spacing w:val="10"/>
                                            <w:sz w:val="20"/>
                                          </w:rPr>
                                          <w:t xml:space="preserve">Изпращане на ФК за извършване </w:t>
                                        </w:r>
                                        <w:proofErr w:type="spellStart"/>
                                        <w:r w:rsidRPr="004E0B9F">
                                          <w:rPr>
                                            <w:spacing w:val="10"/>
                                            <w:sz w:val="20"/>
                                          </w:rPr>
                                          <w:t>напреглед</w:t>
                                        </w:r>
                                        <w:proofErr w:type="spellEnd"/>
                                        <w:r w:rsidRPr="004E0B9F">
                                          <w:rPr>
                                            <w:spacing w:val="10"/>
                                            <w:sz w:val="20"/>
                                          </w:rPr>
                                          <w:t xml:space="preserve"> на качеството</w:t>
                                        </w:r>
                                        <w:r>
                                          <w:rPr>
                                            <w:spacing w:val="10"/>
                                            <w:sz w:val="20"/>
                                          </w:rPr>
                                          <w:t xml:space="preserve"> на проекта </w:t>
                                        </w:r>
                                        <w:r w:rsidRPr="004E0B9F">
                                          <w:rPr>
                                            <w:spacing w:val="10"/>
                                            <w:sz w:val="20"/>
                                          </w:rPr>
                                          <w:t xml:space="preserve"> от </w:t>
                                        </w:r>
                                        <w:proofErr w:type="spellStart"/>
                                        <w:r w:rsidRPr="004E0B9F">
                                          <w:rPr>
                                            <w:spacing w:val="10"/>
                                            <w:sz w:val="20"/>
                                          </w:rPr>
                                          <w:t>Джаспърс</w:t>
                                        </w:r>
                                        <w:proofErr w:type="spellEnd"/>
                                      </w:p>
                                    </w:txbxContent>
                                  </v:textbox>
                                </v:roundrect>
                                <v:shape id="AutoShape 228" o:spid="_x0000_s1078" type="#_x0000_t67" style="position:absolute;left:21793;width:1295;height: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" adj="10800" fillcolor="#4f81bd" strokecolor="#385d8a" strokeweight="2pt"/>
                                <v:shape id="Text Box 4" o:spid="_x0000_s1079" type="#_x0000_t202" style="position:absolute;left:10363;top:-344;width:22396;height:5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" strokecolor="white" strokeweight=".5pt">
                                  <v:textbox>
                                    <w:txbxContent>
                                      <w:p w:rsidR="00CD7E74" w:rsidRPr="004E0B9F" w:rsidRDefault="00CD7E74" w:rsidP="007E360C">
                                        <w:pPr>
                                          <w:ind w:firstLine="0"/>
                                          <w:jc w:val="center"/>
                                          <w:rPr>
                                            <w:sz w:val="20"/>
                                          </w:rPr>
                                        </w:pPr>
                                        <w:r>
                                          <w:rPr>
                                            <w:sz w:val="20"/>
                                          </w:rPr>
                                          <w:t xml:space="preserve">Проектът включен ли е в годишния план на </w:t>
                                        </w:r>
                                        <w:proofErr w:type="spellStart"/>
                                        <w:r>
                                          <w:rPr>
                                            <w:sz w:val="20"/>
                                          </w:rPr>
                                          <w:t>Джаспърс</w:t>
                                        </w:r>
                                        <w:proofErr w:type="spellEnd"/>
                                      </w:p>
                                      <w:p w:rsidR="00CD7E74" w:rsidRPr="004E0B9F" w:rsidRDefault="00CD7E74" w:rsidP="007E360C">
                                        <w:pPr>
                                          <w:ind w:firstLine="0"/>
                                          <w:jc w:val="center"/>
                                          <w:rPr>
                                            <w:sz w:val="20"/>
                                          </w:rPr>
                                        </w:pPr>
                                      </w:p>
                                    </w:txbxContent>
                                  </v:textbox>
                                </v:shape>
                              </v:group>
                            </v:group>
                            <v:group id="Group 1021" o:spid="_x0000_s1080" style="position:absolute;left:5180;top:46382;width:92081;height:12465" coordorigin="4037,-6729" coordsize="92081,12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">
                              <v:group id="Group 76" o:spid="_x0000_s1081" style="position:absolute;left:34723;top:-6729;width:61395;height:11852" coordorigin="3736,10749" coordsize="8353,2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AutoShape 258" o:spid="_x0000_s1082" type="#_x0000_t67" style="position:absolute;left:5833;top:11163;width:204;height: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" adj="10800" fillcolor="#4f81bd" strokecolor="#385d8a" strokeweight="2pt"/>
                                <v:roundrect id="AutoShape 259" o:spid="_x0000_s1083" style="position:absolute;left:8423;top:10749;width:2780;height:105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" strokecolor="#4f81bd" strokeweight="1pt">
                                  <v:stroke dashstyle="dash"/>
                                  <v:shadow color="#868686"/>
                                  <v:textbox>
                                    <w:txbxContent>
                                      <w:p w:rsidR="00CD7E74" w:rsidRPr="004E0B9F" w:rsidRDefault="00CD7E74" w:rsidP="007E360C">
                                        <w:pPr>
                                          <w:ind w:firstLine="0"/>
                                          <w:jc w:val="center"/>
                                          <w:rPr>
                                            <w:sz w:val="20"/>
                                          </w:rPr>
                                        </w:pPr>
                                        <w:r w:rsidRPr="004E0B9F">
                                          <w:rPr>
                                            <w:sz w:val="20"/>
                                          </w:rPr>
                                          <w:t>Оценителен доклад и оценителни таблици</w:t>
                                        </w:r>
                                      </w:p>
                                    </w:txbxContent>
                                  </v:textbox>
                                </v:roundrect>
                                <v:shape id="AutoShape 260" o:spid="_x0000_s1084" type="#_x0000_t67" style="position:absolute;left:5769;top:12555;width:204;height: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" adj="10800" fillcolor="#4f81bd" strokecolor="#385d8a" strokeweight="2pt"/>
                                <v:roundrect id="AutoShape 81" o:spid="_x0000_s1085" style="position:absolute;left:8435;top:12440;width:3654;height:94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" strokecolor="#4f81bd" strokeweight="1pt">
                                  <v:stroke dashstyle="dash"/>
                                  <v:shadow color="#868686"/>
                                  <v:textbox>
                                    <w:txbxContent>
                                      <w:p w:rsidR="00CD7E74" w:rsidRPr="004E0B9F" w:rsidRDefault="00CD7E74" w:rsidP="007E360C">
                                        <w:pPr>
                                          <w:ind w:firstLine="0"/>
                                          <w:jc w:val="center"/>
                                          <w:rPr>
                                            <w:spacing w:val="10"/>
                                            <w:sz w:val="20"/>
                                          </w:rPr>
                                        </w:pPr>
                                        <w:r w:rsidRPr="004E0B9F">
                                          <w:rPr>
                                            <w:sz w:val="20"/>
                                          </w:rPr>
                                          <w:t>Решение за БФП; Договор/Заповед за БФП</w:t>
                                        </w:r>
                                      </w:p>
                                    </w:txbxContent>
                                  </v:textbox>
                                </v:roundrect>
                                <v:roundrect id="AutoShape 262" o:spid="_x0000_s1086" style="position:absolute;left:3769;top:12752;width:4728;height:7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" fillcolor="#a3c4ff" strokecolor="#4a7ebb">
                                  <v:fill color2="#e5eeff" rotate="t" angle="180" colors="0 #a3c4ff;22938f #bfd5ff;1 #e5eeff" focus="100%" type="gradient"/>
                                  <v:shadow on="t" color="black" opacity="24903f" origin=",.5" offset="0,.55556mm"/>
                                  <v:textbox>
                                    <w:txbxContent>
                                      <w:p w:rsidR="00CD7E74" w:rsidRPr="004E0B9F" w:rsidRDefault="00CD7E74" w:rsidP="007E360C">
                                        <w:pPr>
                                          <w:ind w:firstLine="0"/>
                                          <w:jc w:val="center"/>
                                          <w:rPr>
                                            <w:sz w:val="20"/>
                                          </w:rPr>
                                        </w:pPr>
                                        <w:r w:rsidRPr="004E0B9F">
                                          <w:rPr>
                                            <w:sz w:val="20"/>
                                          </w:rPr>
                                          <w:t>Предоставяне на безвъзмездна финансова помощ</w:t>
                                        </w:r>
                                      </w:p>
                                      <w:p w:rsidR="00CD7E74" w:rsidRPr="004E0B9F" w:rsidRDefault="00CD7E74" w:rsidP="007E360C">
                                        <w:pPr>
                                          <w:ind w:firstLine="0"/>
                                          <w:jc w:val="center"/>
                                          <w:rPr>
                                            <w:sz w:val="20"/>
                                          </w:rPr>
                                        </w:pPr>
                                      </w:p>
                                    </w:txbxContent>
                                  </v:textbox>
                                </v:roundrect>
                                <v:roundrect id="AutoShape 263" o:spid="_x0000_s1087" style="position:absolute;left:3736;top:11347;width:4709;height:109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" fillcolor="#a3c4ff" strokecolor="#4a7ebb">
                                  <v:fill color2="#e5eeff" rotate="t" angle="180" colors="0 #a3c4ff;22938f #bfd5ff;1 #e5eeff" focus="100%" type="gradient"/>
                                  <v:shadow on="t" color="black" opacity="24903f" origin=",.5" offset="0,.55556mm"/>
                                  <v:textbox>
                                    <w:txbxContent>
                                      <w:p w:rsidR="00CD7E74" w:rsidRPr="004E0B9F" w:rsidRDefault="00CD7E74" w:rsidP="007E360C">
                                        <w:pPr>
                                          <w:ind w:firstLine="0"/>
                                          <w:jc w:val="center"/>
                                          <w:rPr>
                                            <w:sz w:val="20"/>
                                          </w:rPr>
                                        </w:pPr>
                                        <w:r w:rsidRPr="004E0B9F">
                                          <w:rPr>
                                            <w:sz w:val="20"/>
                                          </w:rPr>
                                          <w:t>Приключване на оценката с препоръка за одобрение или отхвърляне на проектното предложение</w:t>
                                        </w:r>
                                      </w:p>
                                      <w:p w:rsidR="00CD7E74" w:rsidRPr="004E0B9F" w:rsidRDefault="00CD7E74" w:rsidP="007E360C">
                                        <w:pPr>
                                          <w:ind w:firstLine="0"/>
                                          <w:jc w:val="center"/>
                                          <w:rPr>
                                            <w:sz w:val="20"/>
                                          </w:rPr>
                                        </w:pPr>
                                      </w:p>
                                    </w:txbxContent>
                                  </v:textbox>
                                </v:roundrect>
                              </v:group>
                              <v:group id="Group 1020" o:spid="_x0000_s1088" style="position:absolute;left:4037;top:-715;width:29945;height:6451" coordorigin="4037,-715" coordsize="29945,6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Text Box 4" o:spid="_x0000_s1089" type="#_x0000_t202" style="position:absolute;left:19157;top:-97;width:13862;height:4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" strokecolor="white" strokeweight=".5pt">
                                  <v:textbox>
                                    <w:txbxContent>
                                      <w:p w:rsidR="00CD7E74" w:rsidRPr="004E0B9F" w:rsidRDefault="00CD7E74" w:rsidP="007E360C">
                                        <w:pPr>
                                          <w:ind w:firstLine="0"/>
                                          <w:jc w:val="center"/>
                                          <w:rPr>
                                            <w:sz w:val="20"/>
                                          </w:rPr>
                                        </w:pPr>
                                        <w:r w:rsidRPr="004E0B9F">
                                          <w:rPr>
                                            <w:sz w:val="20"/>
                                          </w:rPr>
                                          <w:t xml:space="preserve">В случай, че ФК е за </w:t>
                                        </w:r>
                                        <w:r>
                                          <w:rPr>
                                            <w:sz w:val="20"/>
                                          </w:rPr>
                                          <w:t>стратегически</w:t>
                                        </w:r>
                                        <w:r w:rsidRPr="004E0B9F">
                                          <w:rPr>
                                            <w:sz w:val="20"/>
                                          </w:rPr>
                                          <w:t xml:space="preserve"> проект:</w:t>
                                        </w:r>
                                      </w:p>
                                      <w:p w:rsidR="00CD7E74" w:rsidRPr="004E0B9F" w:rsidRDefault="00CD7E74" w:rsidP="007E360C">
                                        <w:pPr>
                                          <w:ind w:firstLine="0"/>
                                          <w:jc w:val="center"/>
                                          <w:rPr>
                                            <w:sz w:val="20"/>
                                          </w:rPr>
                                        </w:pPr>
                                      </w:p>
                                    </w:txbxContent>
                                  </v:textbox>
                                </v:shape>
                                <v:shape id="AutoShape 241" o:spid="_x0000_s1090" type="#_x0000_t67" style="position:absolute;left:32994;top:1547;width:1295;height:68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" adj="10800" fillcolor="#4f81bd" strokecolor="#385d8a" strokeweight="2pt"/>
                                <v:roundrect id="Rounded Rectangle 1" o:spid="_x0000_s1091" style="position:absolute;left:4037;top:-715;width:14459;height:64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" fillcolor="#a3c4ff" strokecolor="#4a7ebb">
                                  <v:fill color2="#e5eeff" rotate="t" angle="180" colors="0 #a3c4ff;22938f #bfd5ff;1 #e5eeff" focus="100%" type="gradient"/>
                                  <v:shadow on="t" color="black" opacity="24903f" origin=",.5" offset="0,.55556mm"/>
                                  <v:textbox>
                                    <w:txbxContent>
                                      <w:p w:rsidR="00CD7E74" w:rsidRPr="004E0B9F" w:rsidRDefault="00CD7E74" w:rsidP="007E360C">
                                        <w:pPr>
                                          <w:ind w:firstLine="0"/>
                                          <w:jc w:val="center"/>
                                          <w:rPr>
                                            <w:sz w:val="20"/>
                                            <w:lang w:val="en-US"/>
                                          </w:rPr>
                                        </w:pPr>
                                        <w:r w:rsidRPr="004E0B9F">
                                          <w:rPr>
                                            <w:spacing w:val="10"/>
                                            <w:sz w:val="20"/>
                                          </w:rPr>
                                          <w:t xml:space="preserve">Изпращане на </w:t>
                                        </w:r>
                                        <w:r>
                                          <w:rPr>
                                            <w:spacing w:val="10"/>
                                            <w:sz w:val="20"/>
                                          </w:rPr>
                                          <w:t>информация към ЕК</w:t>
                                        </w:r>
                                      </w:p>
                                    </w:txbxContent>
                                  </v:textbox>
                                </v:roundrect>
                              </v:group>
                            </v:group>
                          </v:group>
                        </v:group>
                      </v:group>
                    </v:group>
                  </v:group>
                  <v:roundrect id="_x0000_s1092" style="position:absolute;left:39235;top:1748;width:24562;height:329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" strokecolor="#4f81bd" strokeweight="1pt">
                    <v:stroke dashstyle="dash"/>
                    <v:shadow color="#868686"/>
                    <v:textbox>
                      <w:txbxContent>
                        <w:p w:rsidR="00CD7E74" w:rsidRPr="004E0B9F" w:rsidRDefault="00CD7E74" w:rsidP="007E360C">
                          <w:pPr>
                            <w:ind w:firstLine="0"/>
                            <w:jc w:val="center"/>
                            <w:rPr>
                              <w:sz w:val="20"/>
                            </w:rPr>
                          </w:pPr>
                          <w:r>
                            <w:rPr>
                              <w:sz w:val="20"/>
                            </w:rPr>
                            <w:t>Насоки, съдържащи УК и УИ</w:t>
                          </w:r>
                        </w:p>
                      </w:txbxContent>
                    </v:textbox>
                  </v:roundrect>
                </v:group>
                <w10:anchorlock/>
              </v:group>
            </w:pict>
          </mc:Fallback>
        </mc:AlternateContent>
      </w:r>
    </w:p>
    <w:p w:rsidR="007E360C" w:rsidRPr="00496FD7" w:rsidRDefault="007E360C" w:rsidP="007E360C">
      <w:pPr>
        <w:pStyle w:val="Style2"/>
        <w:rPr>
          <w:lang w:eastAsia="bg-BG"/>
        </w:rPr>
      </w:pPr>
      <w:bookmarkStart w:id="64" w:name="_Ref407607205"/>
      <w:r w:rsidRPr="00496FD7">
        <w:rPr>
          <w:lang w:eastAsia="bg-BG"/>
        </w:rPr>
        <w:lastRenderedPageBreak/>
        <w:t xml:space="preserve"> </w:t>
      </w:r>
      <w:bookmarkStart w:id="65" w:name="_Toc479775628"/>
      <w:bookmarkStart w:id="66" w:name="_Toc140150208"/>
      <w:bookmarkStart w:id="67" w:name="_Toc152769888"/>
      <w:bookmarkEnd w:id="64"/>
      <w:r w:rsidRPr="00496FD7">
        <w:rPr>
          <w:lang w:eastAsia="bg-BG"/>
        </w:rPr>
        <w:t xml:space="preserve">Насоки по </w:t>
      </w:r>
      <w:bookmarkEnd w:id="65"/>
      <w:bookmarkEnd w:id="66"/>
      <w:r w:rsidR="00E61CEC" w:rsidRPr="00496FD7">
        <w:rPr>
          <w:lang w:val="bg-BG" w:eastAsia="bg-BG"/>
        </w:rPr>
        <w:t>процедурите</w:t>
      </w:r>
      <w:bookmarkEnd w:id="67"/>
      <w:r w:rsidRPr="00496FD7">
        <w:rPr>
          <w:lang w:eastAsia="bg-BG"/>
        </w:rPr>
        <w:t xml:space="preserve"> </w:t>
      </w:r>
    </w:p>
    <w:p w:rsidR="007E360C" w:rsidRPr="00496FD7" w:rsidRDefault="007E360C" w:rsidP="007E360C">
      <w:pPr>
        <w:rPr>
          <w:lang w:eastAsia="bg-BG"/>
        </w:rPr>
      </w:pPr>
    </w:p>
    <w:p w:rsidR="00E61CEC" w:rsidRPr="00496FD7" w:rsidRDefault="007E360C" w:rsidP="00E61CEC">
      <w:pPr>
        <w:rPr>
          <w:lang w:eastAsia="bg-BG"/>
        </w:rPr>
      </w:pPr>
      <w:r w:rsidRPr="00496FD7">
        <w:rPr>
          <w:lang w:eastAsia="bg-BG"/>
        </w:rPr>
        <w:t>Предоставянето на БФП по ПТС, се изпълнява основно чрез процедура на директно предоставяне на конкр</w:t>
      </w:r>
      <w:r w:rsidR="00E61CEC" w:rsidRPr="00496FD7">
        <w:rPr>
          <w:lang w:eastAsia="bg-BG"/>
        </w:rPr>
        <w:t xml:space="preserve">етно определени в ПТС директни </w:t>
      </w:r>
      <w:r w:rsidRPr="00496FD7">
        <w:rPr>
          <w:lang w:eastAsia="bg-BG"/>
        </w:rPr>
        <w:t>бенефициенти</w:t>
      </w:r>
      <w:r w:rsidR="00457FB0">
        <w:rPr>
          <w:lang w:eastAsia="bg-BG"/>
        </w:rPr>
        <w:t>, но се предвижда и обявяване на няколко процедури на подрбор</w:t>
      </w:r>
      <w:r w:rsidRPr="00496FD7">
        <w:rPr>
          <w:lang w:eastAsia="bg-BG"/>
        </w:rPr>
        <w:t xml:space="preserve">. </w:t>
      </w:r>
      <w:r w:rsidR="00E61CEC" w:rsidRPr="00496FD7">
        <w:rPr>
          <w:lang w:eastAsia="bg-BG"/>
        </w:rPr>
        <w:t xml:space="preserve">Съгласно чл. 5., ал. 1 от ПМС № 23/2023 г. за всяка процедура ръководителят на управляващия орган на </w:t>
      </w:r>
      <w:r w:rsidR="00A621FE" w:rsidRPr="00496FD7">
        <w:rPr>
          <w:lang w:eastAsia="bg-BG"/>
        </w:rPr>
        <w:t>ПТС</w:t>
      </w:r>
      <w:r w:rsidR="00E61CEC" w:rsidRPr="00496FD7">
        <w:rPr>
          <w:lang w:eastAsia="bg-BG"/>
        </w:rPr>
        <w:t>, утвърждава при условията и по реда на чл. 26, ал. 1 - 5 от ЗУСЕФСУ насоки и/или друг документ, определящи:</w:t>
      </w:r>
    </w:p>
    <w:p w:rsidR="00E61CEC" w:rsidRPr="00496FD7" w:rsidRDefault="00E61CEC" w:rsidP="00E61CEC">
      <w:pPr>
        <w:rPr>
          <w:lang w:eastAsia="bg-BG"/>
        </w:rPr>
      </w:pPr>
      <w:r w:rsidRPr="00496FD7">
        <w:rPr>
          <w:lang w:eastAsia="bg-BG"/>
        </w:rPr>
        <w:t>1. условията за кандидатстване, и</w:t>
      </w:r>
    </w:p>
    <w:p w:rsidR="00E61CEC" w:rsidRPr="00496FD7" w:rsidRDefault="00E61CEC" w:rsidP="00E61CEC">
      <w:pPr>
        <w:rPr>
          <w:lang w:eastAsia="bg-BG"/>
        </w:rPr>
      </w:pPr>
      <w:r w:rsidRPr="00496FD7">
        <w:rPr>
          <w:lang w:eastAsia="bg-BG"/>
        </w:rPr>
        <w:t>2. условията за изпълнение на одобрените проекти.</w:t>
      </w:r>
    </w:p>
    <w:p w:rsidR="00E61CEC" w:rsidRPr="00496FD7" w:rsidRDefault="00E61CEC" w:rsidP="007E360C">
      <w:pPr>
        <w:rPr>
          <w:lang w:eastAsia="bg-BG"/>
        </w:rPr>
      </w:pPr>
    </w:p>
    <w:p w:rsidR="007E360C" w:rsidRPr="00496FD7" w:rsidRDefault="00A621FE" w:rsidP="00A621FE">
      <w:pPr>
        <w:rPr>
          <w:lang w:eastAsia="bg-BG"/>
        </w:rPr>
      </w:pPr>
      <w:r w:rsidRPr="00496FD7">
        <w:rPr>
          <w:lang w:eastAsia="bg-BG"/>
        </w:rPr>
        <w:t xml:space="preserve">Съгласно чл. 24. от ПМС № 23/2023 г. поканата за участие в процедура чрез директно предоставяне се публикува в ИСУН заедно с документите по чл. 26, ал. 1 от ЗУСЕФСУ. Информация относно публикуваните в ИСУН документи се публикува на интернет страницата на съответната програма и в Единния информационен портал </w:t>
      </w:r>
      <w:hyperlink r:id="rId29" w:history="1">
        <w:r w:rsidR="007E360C" w:rsidRPr="00496FD7">
          <w:rPr>
            <w:color w:val="0000FF"/>
            <w:u w:val="single"/>
            <w:lang w:eastAsia="bg-BG"/>
          </w:rPr>
          <w:t>www.eufunds.bg</w:t>
        </w:r>
      </w:hyperlink>
      <w:r w:rsidR="007E360C" w:rsidRPr="00496FD7">
        <w:rPr>
          <w:lang w:eastAsia="bg-BG"/>
        </w:rPr>
        <w:t>.</w:t>
      </w:r>
    </w:p>
    <w:p w:rsidR="00A621FE" w:rsidRPr="00496FD7" w:rsidRDefault="00A621FE" w:rsidP="00A621FE">
      <w:pPr>
        <w:rPr>
          <w:lang w:eastAsia="bg-BG"/>
        </w:rPr>
      </w:pPr>
    </w:p>
    <w:p w:rsidR="007E360C" w:rsidRPr="00496FD7" w:rsidRDefault="007E360C" w:rsidP="007E360C">
      <w:pPr>
        <w:rPr>
          <w:lang w:eastAsia="bg-BG"/>
        </w:rPr>
      </w:pPr>
      <w:r w:rsidRPr="00496FD7">
        <w:rPr>
          <w:lang w:eastAsia="bg-BG"/>
        </w:rPr>
        <w:t xml:space="preserve">Процедурата за изготвяне/актуализиране на Насоките по </w:t>
      </w:r>
      <w:r w:rsidR="00A621FE" w:rsidRPr="00496FD7">
        <w:rPr>
          <w:lang w:eastAsia="bg-BG"/>
        </w:rPr>
        <w:t>процедурите</w:t>
      </w:r>
      <w:r w:rsidRPr="00496FD7">
        <w:rPr>
          <w:lang w:eastAsia="bg-BG"/>
        </w:rPr>
        <w:t xml:space="preserve"> е важен елемент от процеса на подготовката на проектите. Целта на Насоките по </w:t>
      </w:r>
      <w:r w:rsidR="00A621FE" w:rsidRPr="00496FD7">
        <w:rPr>
          <w:lang w:eastAsia="bg-BG"/>
        </w:rPr>
        <w:t>процедурите</w:t>
      </w:r>
      <w:r w:rsidRPr="00496FD7">
        <w:rPr>
          <w:lang w:eastAsia="bg-BG"/>
        </w:rPr>
        <w:t xml:space="preserve"> е подпомагането на конкретните бенефициенти при попълването на ФК/ФП за финансиране от ПТС.</w:t>
      </w:r>
    </w:p>
    <w:p w:rsidR="007E360C" w:rsidRPr="00496FD7" w:rsidRDefault="007E360C" w:rsidP="007E360C">
      <w:pPr>
        <w:pStyle w:val="Style3"/>
        <w:rPr>
          <w:lang w:val="bg-BG" w:eastAsia="bg-BG"/>
        </w:rPr>
      </w:pPr>
      <w:bookmarkStart w:id="68" w:name="_Ref407616981"/>
      <w:bookmarkStart w:id="69" w:name="_Toc479775629"/>
      <w:r w:rsidRPr="00496FD7">
        <w:rPr>
          <w:lang w:val="bg-BG" w:eastAsia="bg-BG"/>
        </w:rPr>
        <w:t>Изготвяне на Насоки по ПТС</w:t>
      </w:r>
      <w:bookmarkEnd w:id="68"/>
      <w:bookmarkEnd w:id="69"/>
    </w:p>
    <w:p w:rsidR="007E360C" w:rsidRPr="00496FD7" w:rsidRDefault="007E360C" w:rsidP="007E360C">
      <w:bookmarkStart w:id="70" w:name="_Ref395880109"/>
      <w:r w:rsidRPr="00496FD7">
        <w:t xml:space="preserve">Изготвянето на Насоките по </w:t>
      </w:r>
      <w:r w:rsidR="00A621FE" w:rsidRPr="00496FD7">
        <w:t>процедурите</w:t>
      </w:r>
      <w:r w:rsidRPr="00496FD7">
        <w:t xml:space="preserve"> е вменено във функциите на отдел </w:t>
      </w:r>
      <w:r w:rsidR="00954F3C" w:rsidRPr="00496FD7">
        <w:t>„Програмиране” към дирекция КПП, със участието на останалите отдели по компетентност.</w:t>
      </w:r>
      <w:r w:rsidR="00BD6981">
        <w:t xml:space="preserve"> Възможно е ползването на външна експертиза при подготовката на документите от външни консултанти, избрани при спазване на правилата за обществени поръчки и/или подпомагане от инициативи на ЕК – Джаспърс.</w:t>
      </w:r>
    </w:p>
    <w:bookmarkEnd w:id="70"/>
    <w:p w:rsidR="007E360C" w:rsidRPr="00496FD7" w:rsidRDefault="007C4548" w:rsidP="00954F3C">
      <w:r w:rsidRPr="00496FD7">
        <w:t>Насоките по процедурата</w:t>
      </w:r>
      <w:r w:rsidR="007E360C" w:rsidRPr="00496FD7">
        <w:t xml:space="preserve"> е задължително да са изготвени </w:t>
      </w:r>
      <w:r w:rsidR="00E61CEC" w:rsidRPr="00496FD7">
        <w:t>съгласно одобрения образец</w:t>
      </w:r>
      <w:r w:rsidR="00A621FE" w:rsidRPr="00496FD7">
        <w:t>, утвърден със Заповед № Р-64/30.03.2023 г. от заместник министър-председателя по управление на Европейските средства,</w:t>
      </w:r>
      <w:r w:rsidR="00E61CEC" w:rsidRPr="00496FD7">
        <w:t xml:space="preserve"> </w:t>
      </w:r>
      <w:r w:rsidR="007E360C" w:rsidRPr="00496FD7">
        <w:t xml:space="preserve">в съответствие с точка </w:t>
      </w:r>
      <w:r w:rsidR="007E360C" w:rsidRPr="00496FD7">
        <w:fldChar w:fldCharType="begin"/>
      </w:r>
      <w:r w:rsidR="007E360C" w:rsidRPr="00496FD7">
        <w:instrText xml:space="preserve"> REF _Ref406166508 \w \h  \* MERGEFORMAT </w:instrText>
      </w:r>
      <w:r w:rsidR="007E360C" w:rsidRPr="00496FD7">
        <w:fldChar w:fldCharType="separate"/>
      </w:r>
      <w:r w:rsidR="007E360C" w:rsidRPr="00496FD7">
        <w:t>14.2</w:t>
      </w:r>
      <w:r w:rsidR="007E360C" w:rsidRPr="00496FD7">
        <w:fldChar w:fldCharType="end"/>
      </w:r>
      <w:r w:rsidR="007E360C" w:rsidRPr="00496FD7">
        <w:t xml:space="preserve"> „Допустими дейности по ПТС” и точка </w:t>
      </w:r>
      <w:r w:rsidR="007E360C" w:rsidRPr="00496FD7">
        <w:fldChar w:fldCharType="begin"/>
      </w:r>
      <w:r w:rsidR="007E360C" w:rsidRPr="00496FD7">
        <w:instrText xml:space="preserve"> REF _Ref406166578 \w \h  \* MERGEFORMAT </w:instrText>
      </w:r>
      <w:r w:rsidR="007E360C" w:rsidRPr="00496FD7">
        <w:fldChar w:fldCharType="separate"/>
      </w:r>
      <w:r w:rsidR="007E360C" w:rsidRPr="00496FD7">
        <w:t>14.3</w:t>
      </w:r>
      <w:r w:rsidR="007E360C" w:rsidRPr="00496FD7">
        <w:fldChar w:fldCharType="end"/>
      </w:r>
      <w:r w:rsidR="007E360C" w:rsidRPr="00496FD7">
        <w:t xml:space="preserve"> „Допустимост на разходите по ПТС” от настоящия процедурен наръчник.</w:t>
      </w:r>
    </w:p>
    <w:p w:rsidR="007E360C" w:rsidRPr="00496FD7" w:rsidRDefault="007C4548" w:rsidP="00954F3C">
      <w:r w:rsidRPr="00496FD7">
        <w:t>Насоките по процедурата</w:t>
      </w:r>
      <w:r w:rsidR="007E360C" w:rsidRPr="00496FD7">
        <w:t xml:space="preserve"> задължително съдържат:</w:t>
      </w:r>
    </w:p>
    <w:p w:rsidR="007E360C" w:rsidRPr="00496FD7" w:rsidRDefault="007E360C" w:rsidP="00E80472">
      <w:pPr>
        <w:pStyle w:val="ListParagraph"/>
        <w:numPr>
          <w:ilvl w:val="0"/>
          <w:numId w:val="75"/>
        </w:numPr>
        <w:ind w:left="0" w:firstLine="1211"/>
        <w:rPr>
          <w:lang w:eastAsia="bg-BG"/>
        </w:rPr>
      </w:pPr>
      <w:r w:rsidRPr="00496FD7">
        <w:rPr>
          <w:lang w:eastAsia="bg-BG"/>
        </w:rPr>
        <w:t>наименование на програмата;</w:t>
      </w:r>
    </w:p>
    <w:p w:rsidR="007E360C" w:rsidRPr="00496FD7" w:rsidRDefault="007E360C" w:rsidP="00FC29FF">
      <w:pPr>
        <w:pStyle w:val="ListParagraph"/>
        <w:numPr>
          <w:ilvl w:val="0"/>
          <w:numId w:val="75"/>
        </w:numPr>
        <w:ind w:left="0" w:firstLine="1211"/>
        <w:rPr>
          <w:lang w:eastAsia="bg-BG"/>
        </w:rPr>
      </w:pPr>
      <w:r w:rsidRPr="00496FD7">
        <w:rPr>
          <w:lang w:eastAsia="bg-BG"/>
        </w:rPr>
        <w:t>кратко описание на приоритета/ите по ПТС и конкретните бенефициенти по нея/тях.</w:t>
      </w:r>
    </w:p>
    <w:p w:rsidR="007E360C" w:rsidRPr="00496FD7" w:rsidRDefault="007E360C" w:rsidP="00E80472">
      <w:pPr>
        <w:pStyle w:val="ListParagraph"/>
        <w:numPr>
          <w:ilvl w:val="0"/>
          <w:numId w:val="75"/>
        </w:numPr>
        <w:ind w:left="0" w:firstLine="1211"/>
        <w:rPr>
          <w:lang w:eastAsia="bg-BG"/>
        </w:rPr>
      </w:pPr>
      <w:r w:rsidRPr="00496FD7">
        <w:rPr>
          <w:lang w:eastAsia="bg-BG"/>
        </w:rPr>
        <w:t>дейности, допустими за финансиране по ПТС;</w:t>
      </w:r>
    </w:p>
    <w:p w:rsidR="007E360C" w:rsidRPr="00496FD7" w:rsidRDefault="007E360C" w:rsidP="00E80472">
      <w:pPr>
        <w:pStyle w:val="ListParagraph"/>
        <w:numPr>
          <w:ilvl w:val="0"/>
          <w:numId w:val="75"/>
        </w:numPr>
        <w:ind w:left="0" w:firstLine="1211"/>
        <w:rPr>
          <w:lang w:eastAsia="bg-BG"/>
        </w:rPr>
      </w:pPr>
      <w:r w:rsidRPr="00496FD7">
        <w:rPr>
          <w:lang w:eastAsia="bg-BG"/>
        </w:rPr>
        <w:t>разходи, допустими за финансиране по ПТС;</w:t>
      </w:r>
    </w:p>
    <w:p w:rsidR="007E360C" w:rsidRPr="00496FD7" w:rsidRDefault="007E360C" w:rsidP="00E80472">
      <w:pPr>
        <w:pStyle w:val="ListParagraph"/>
        <w:numPr>
          <w:ilvl w:val="0"/>
          <w:numId w:val="75"/>
        </w:numPr>
        <w:ind w:left="0" w:firstLine="1211"/>
        <w:rPr>
          <w:lang w:eastAsia="bg-BG"/>
        </w:rPr>
      </w:pPr>
      <w:r w:rsidRPr="00496FD7">
        <w:rPr>
          <w:lang w:eastAsia="bg-BG"/>
        </w:rPr>
        <w:t>образци/указания за попълване на Формуляри за кандидатстване в системата ИСУН 2020;</w:t>
      </w:r>
    </w:p>
    <w:p w:rsidR="007E360C" w:rsidRPr="00496FD7" w:rsidRDefault="007E360C" w:rsidP="00E80472">
      <w:pPr>
        <w:pStyle w:val="ListParagraph"/>
        <w:numPr>
          <w:ilvl w:val="0"/>
          <w:numId w:val="75"/>
        </w:numPr>
        <w:ind w:left="0" w:firstLine="1211"/>
        <w:rPr>
          <w:lang w:eastAsia="bg-BG"/>
        </w:rPr>
      </w:pPr>
      <w:r w:rsidRPr="00496FD7">
        <w:rPr>
          <w:lang w:eastAsia="bg-BG"/>
        </w:rPr>
        <w:t xml:space="preserve">етапи и начин за оценяване на проектните предложения, Критерии за оценка по </w:t>
      </w:r>
      <w:r w:rsidR="00954F3C" w:rsidRPr="00496FD7">
        <w:rPr>
          <w:lang w:eastAsia="bg-BG"/>
        </w:rPr>
        <w:t>процедурата</w:t>
      </w:r>
      <w:r w:rsidRPr="00496FD7">
        <w:rPr>
          <w:lang w:eastAsia="bg-BG"/>
        </w:rPr>
        <w:t>;</w:t>
      </w:r>
    </w:p>
    <w:p w:rsidR="007E360C" w:rsidRPr="00496FD7" w:rsidRDefault="007E360C" w:rsidP="00E80472">
      <w:pPr>
        <w:pStyle w:val="ListParagraph"/>
        <w:numPr>
          <w:ilvl w:val="0"/>
          <w:numId w:val="75"/>
        </w:numPr>
        <w:ind w:left="0" w:firstLine="1211"/>
        <w:rPr>
          <w:lang w:eastAsia="bg-BG"/>
        </w:rPr>
      </w:pPr>
      <w:r w:rsidRPr="00496FD7">
        <w:rPr>
          <w:lang w:eastAsia="bg-BG"/>
        </w:rPr>
        <w:t>начин на подаване на проектните предложения;</w:t>
      </w:r>
    </w:p>
    <w:p w:rsidR="007E360C" w:rsidRPr="00496FD7" w:rsidRDefault="007E360C" w:rsidP="00E80472">
      <w:pPr>
        <w:pStyle w:val="ListParagraph"/>
        <w:numPr>
          <w:ilvl w:val="0"/>
          <w:numId w:val="75"/>
        </w:numPr>
        <w:ind w:left="0" w:firstLine="1211"/>
        <w:rPr>
          <w:lang w:eastAsia="bg-BG"/>
        </w:rPr>
      </w:pPr>
      <w:r w:rsidRPr="00496FD7">
        <w:rPr>
          <w:lang w:eastAsia="bg-BG"/>
        </w:rPr>
        <w:t>срок за подаване на проектните предложения.</w:t>
      </w:r>
    </w:p>
    <w:p w:rsidR="007E360C" w:rsidRPr="00496FD7" w:rsidRDefault="007E360C" w:rsidP="007E360C">
      <w:pPr>
        <w:rPr>
          <w:lang w:eastAsia="bg-BG"/>
        </w:rPr>
      </w:pPr>
    </w:p>
    <w:p w:rsidR="007E360C" w:rsidRPr="00496FD7" w:rsidRDefault="007E360C" w:rsidP="007E360C">
      <w:r w:rsidRPr="00496FD7">
        <w:t xml:space="preserve">В Насоките по </w:t>
      </w:r>
      <w:r w:rsidR="00954F3C" w:rsidRPr="00496FD7">
        <w:t>процедурата</w:t>
      </w:r>
      <w:r w:rsidRPr="00496FD7">
        <w:t xml:space="preserve"> се посочва адрес за кореспонденция, телефон, електронна поща и адрес на интернет страницата на ПТС</w:t>
      </w:r>
      <w:r w:rsidR="00954F3C" w:rsidRPr="00496FD7">
        <w:t>,</w:t>
      </w:r>
      <w:r w:rsidRPr="00496FD7">
        <w:t xml:space="preserve"> на които конкретните бенефициенти могат да </w:t>
      </w:r>
      <w:r w:rsidRPr="00496FD7">
        <w:lastRenderedPageBreak/>
        <w:t xml:space="preserve">намерят публикувани актуалните Насоки по </w:t>
      </w:r>
      <w:r w:rsidR="00954F3C" w:rsidRPr="00496FD7">
        <w:t>процедурата</w:t>
      </w:r>
      <w:r w:rsidRPr="00496FD7">
        <w:t xml:space="preserve"> и при необходимост да направят своите запитвания до УО на ПТС. </w:t>
      </w:r>
    </w:p>
    <w:p w:rsidR="007E360C" w:rsidRPr="00496FD7" w:rsidRDefault="007E360C" w:rsidP="007E360C">
      <w:pPr>
        <w:rPr>
          <w:szCs w:val="24"/>
          <w:lang w:eastAsia="bg-BG"/>
        </w:rPr>
      </w:pPr>
      <w:r w:rsidRPr="00496FD7">
        <w:rPr>
          <w:szCs w:val="24"/>
          <w:lang w:eastAsia="bg-BG"/>
        </w:rPr>
        <w:t xml:space="preserve">По-специално, чрез Насоките по </w:t>
      </w:r>
      <w:r w:rsidR="00954F3C" w:rsidRPr="00496FD7">
        <w:rPr>
          <w:szCs w:val="24"/>
          <w:lang w:eastAsia="bg-BG"/>
        </w:rPr>
        <w:t>процедурата</w:t>
      </w:r>
      <w:r w:rsidRPr="00496FD7">
        <w:rPr>
          <w:szCs w:val="24"/>
          <w:lang w:eastAsia="bg-BG"/>
        </w:rPr>
        <w:t xml:space="preserve"> </w:t>
      </w:r>
      <w:r w:rsidR="00D66302">
        <w:rPr>
          <w:szCs w:val="24"/>
          <w:lang w:eastAsia="bg-BG"/>
        </w:rPr>
        <w:t xml:space="preserve">конкретните </w:t>
      </w:r>
      <w:r w:rsidRPr="00496FD7">
        <w:rPr>
          <w:szCs w:val="24"/>
          <w:lang w:eastAsia="bg-BG"/>
        </w:rPr>
        <w:t>бенефициенти</w:t>
      </w:r>
      <w:r w:rsidR="00D66302">
        <w:rPr>
          <w:szCs w:val="24"/>
          <w:lang w:eastAsia="bg-BG"/>
        </w:rPr>
        <w:t>/кандидати</w:t>
      </w:r>
      <w:r w:rsidRPr="00496FD7">
        <w:rPr>
          <w:szCs w:val="24"/>
          <w:lang w:eastAsia="bg-BG"/>
        </w:rPr>
        <w:t xml:space="preserve"> се информират за:</w:t>
      </w:r>
    </w:p>
    <w:p w:rsidR="00954F3C" w:rsidRPr="00496FD7" w:rsidRDefault="00954F3C" w:rsidP="00E80472">
      <w:pPr>
        <w:pStyle w:val="ListParagraph"/>
        <w:numPr>
          <w:ilvl w:val="0"/>
          <w:numId w:val="76"/>
        </w:numPr>
        <w:ind w:left="0" w:firstLine="1211"/>
        <w:rPr>
          <w:lang w:eastAsia="bg-BG"/>
        </w:rPr>
      </w:pPr>
      <w:r w:rsidRPr="00496FD7">
        <w:rPr>
          <w:lang w:eastAsia="bg-BG"/>
        </w:rPr>
        <w:t>Допустимостта на разходите по ЕФРР/КФ;</w:t>
      </w:r>
    </w:p>
    <w:p w:rsidR="007E360C" w:rsidRPr="00496FD7" w:rsidRDefault="00954F3C" w:rsidP="00E80472">
      <w:pPr>
        <w:pStyle w:val="ListParagraph"/>
        <w:numPr>
          <w:ilvl w:val="0"/>
          <w:numId w:val="76"/>
        </w:numPr>
        <w:ind w:left="0" w:firstLine="1211"/>
        <w:rPr>
          <w:lang w:eastAsia="bg-BG"/>
        </w:rPr>
      </w:pPr>
      <w:r w:rsidRPr="00496FD7">
        <w:rPr>
          <w:lang w:eastAsia="bg-BG"/>
        </w:rPr>
        <w:t>Допустими и  недопустими</w:t>
      </w:r>
      <w:r w:rsidR="007E360C" w:rsidRPr="00496FD7">
        <w:rPr>
          <w:lang w:eastAsia="bg-BG"/>
        </w:rPr>
        <w:t xml:space="preserve"> разходи по </w:t>
      </w:r>
      <w:r w:rsidRPr="00496FD7">
        <w:rPr>
          <w:lang w:eastAsia="bg-BG"/>
        </w:rPr>
        <w:t>процедурата</w:t>
      </w:r>
      <w:r w:rsidR="007E360C" w:rsidRPr="00496FD7">
        <w:rPr>
          <w:lang w:eastAsia="bg-BG"/>
        </w:rPr>
        <w:t>;</w:t>
      </w:r>
    </w:p>
    <w:p w:rsidR="007E360C" w:rsidRPr="00F37BE0" w:rsidRDefault="00954F3C" w:rsidP="00E80472">
      <w:pPr>
        <w:pStyle w:val="ListParagraph"/>
        <w:numPr>
          <w:ilvl w:val="0"/>
          <w:numId w:val="76"/>
        </w:numPr>
        <w:ind w:left="0" w:firstLine="1211"/>
        <w:rPr>
          <w:lang w:eastAsia="bg-BG"/>
        </w:rPr>
      </w:pPr>
      <w:r w:rsidRPr="00F37BE0">
        <w:rPr>
          <w:lang w:eastAsia="bg-BG"/>
        </w:rPr>
        <w:t>Допустими дейности по процедурата</w:t>
      </w:r>
      <w:r w:rsidR="007E360C" w:rsidRPr="00F37BE0">
        <w:rPr>
          <w:lang w:eastAsia="bg-BG"/>
        </w:rPr>
        <w:t>;</w:t>
      </w:r>
    </w:p>
    <w:p w:rsidR="007E360C" w:rsidRPr="00496FD7" w:rsidRDefault="007E360C" w:rsidP="00E80472">
      <w:pPr>
        <w:pStyle w:val="ListParagraph"/>
        <w:numPr>
          <w:ilvl w:val="0"/>
          <w:numId w:val="76"/>
        </w:numPr>
        <w:ind w:left="0" w:firstLine="1211"/>
        <w:rPr>
          <w:lang w:eastAsia="bg-BG"/>
        </w:rPr>
      </w:pPr>
      <w:r w:rsidRPr="00496FD7">
        <w:rPr>
          <w:lang w:eastAsia="bg-BG"/>
        </w:rPr>
        <w:t xml:space="preserve">Специфичните условия, свързани с </w:t>
      </w:r>
      <w:r w:rsidR="00954F3C" w:rsidRPr="00496FD7">
        <w:rPr>
          <w:lang w:eastAsia="bg-BG"/>
        </w:rPr>
        <w:t>операцията</w:t>
      </w:r>
      <w:r w:rsidRPr="00496FD7">
        <w:rPr>
          <w:lang w:eastAsia="bg-BG"/>
        </w:rPr>
        <w:t>;</w:t>
      </w:r>
    </w:p>
    <w:p w:rsidR="007E360C" w:rsidRPr="00496FD7" w:rsidRDefault="007E360C" w:rsidP="00E80472">
      <w:pPr>
        <w:pStyle w:val="ListParagraph"/>
        <w:numPr>
          <w:ilvl w:val="0"/>
          <w:numId w:val="76"/>
        </w:numPr>
        <w:ind w:left="0" w:firstLine="1211"/>
        <w:rPr>
          <w:lang w:eastAsia="bg-BG"/>
        </w:rPr>
      </w:pPr>
      <w:r w:rsidRPr="00496FD7">
        <w:rPr>
          <w:lang w:eastAsia="bg-BG"/>
        </w:rPr>
        <w:t>Плана за финансиране и сроковете за изпълнение;</w:t>
      </w:r>
    </w:p>
    <w:p w:rsidR="007E360C" w:rsidRPr="00496FD7" w:rsidRDefault="007E360C" w:rsidP="00E80472">
      <w:pPr>
        <w:pStyle w:val="ListParagraph"/>
        <w:numPr>
          <w:ilvl w:val="0"/>
          <w:numId w:val="76"/>
        </w:numPr>
        <w:ind w:left="0" w:firstLine="1211"/>
        <w:rPr>
          <w:lang w:eastAsia="bg-BG"/>
        </w:rPr>
      </w:pPr>
      <w:r w:rsidRPr="00496FD7">
        <w:rPr>
          <w:lang w:eastAsia="bg-BG"/>
        </w:rPr>
        <w:t>Изискванията по отношение на осчетоводяването на извършените разходи, свързани с изпълнението на проекта в специално обособена аналитичност в счетоводната система на бенефициента;</w:t>
      </w:r>
    </w:p>
    <w:p w:rsidR="007E360C" w:rsidRPr="00496FD7" w:rsidRDefault="007E360C" w:rsidP="00E80472">
      <w:pPr>
        <w:pStyle w:val="ListParagraph"/>
        <w:numPr>
          <w:ilvl w:val="0"/>
          <w:numId w:val="76"/>
        </w:numPr>
        <w:ind w:left="0" w:firstLine="1211"/>
        <w:rPr>
          <w:lang w:eastAsia="bg-BG"/>
        </w:rPr>
      </w:pPr>
      <w:r w:rsidRPr="00496FD7">
        <w:rPr>
          <w:lang w:eastAsia="bg-BG"/>
        </w:rPr>
        <w:t>Информацията, относно съхраняване на документите и поддържане на одитна следа;</w:t>
      </w:r>
    </w:p>
    <w:p w:rsidR="007E360C" w:rsidRPr="00496FD7" w:rsidRDefault="007E360C" w:rsidP="00954F3C">
      <w:pPr>
        <w:pStyle w:val="ListParagraph"/>
        <w:numPr>
          <w:ilvl w:val="0"/>
          <w:numId w:val="76"/>
        </w:numPr>
        <w:rPr>
          <w:lang w:eastAsia="bg-BG"/>
        </w:rPr>
      </w:pPr>
      <w:r w:rsidRPr="00496FD7">
        <w:rPr>
          <w:lang w:eastAsia="bg-BG"/>
        </w:rPr>
        <w:t xml:space="preserve">Задълженията на бенефициента във връзка с </w:t>
      </w:r>
      <w:r w:rsidR="00954F3C" w:rsidRPr="00496FD7">
        <w:rPr>
          <w:lang w:eastAsia="bg-BG"/>
        </w:rPr>
        <w:t>мерки за информация, комуникация и видимост</w:t>
      </w:r>
      <w:r w:rsidRPr="00496FD7">
        <w:rPr>
          <w:lang w:eastAsia="bg-BG"/>
        </w:rPr>
        <w:t>;</w:t>
      </w:r>
    </w:p>
    <w:p w:rsidR="007E360C" w:rsidRPr="00496FD7" w:rsidRDefault="007E360C" w:rsidP="007E360C">
      <w:pPr>
        <w:rPr>
          <w:lang w:eastAsia="bg-BG"/>
        </w:rPr>
      </w:pPr>
    </w:p>
    <w:p w:rsidR="00D66302" w:rsidRDefault="00D66302" w:rsidP="007E360C">
      <w:bookmarkStart w:id="71" w:name="_Ref395878438"/>
      <w:r w:rsidRPr="00D66302">
        <w:t>В процедура чрез подбор не може да участват и безвъзмездна финансова помощ не се предоставя на лица, за които са налице обстоятелства за отстраняване от участие в процедура за възлагане на обществена поръчка съгласно чл. 54 от Закона за обществените поръчки или които не са изпълнили разпореждане на Европейската комисия за възстановяване на предоставената им неправомерна и несъвместима държавна помощ.</w:t>
      </w:r>
    </w:p>
    <w:p w:rsidR="00D66302" w:rsidRPr="00D66302" w:rsidRDefault="00D66302" w:rsidP="007E360C"/>
    <w:p w:rsidR="009C542B" w:rsidRPr="00496FD7" w:rsidRDefault="007E360C" w:rsidP="007E360C">
      <w:r w:rsidRPr="00496FD7">
        <w:t xml:space="preserve">Изготвеният </w:t>
      </w:r>
      <w:r w:rsidR="001029D3" w:rsidRPr="00496FD7">
        <w:t xml:space="preserve">проект на Насоки по процедурите </w:t>
      </w:r>
      <w:r w:rsidRPr="00496FD7">
        <w:t xml:space="preserve">се съгласува в рамките на УО на ПТС </w:t>
      </w:r>
      <w:r w:rsidR="001029D3" w:rsidRPr="00496FD7">
        <w:t>с всички отдели в дирекция КПП</w:t>
      </w:r>
      <w:bookmarkEnd w:id="71"/>
      <w:r w:rsidR="001029D3" w:rsidRPr="00496FD7">
        <w:t xml:space="preserve">. </w:t>
      </w:r>
    </w:p>
    <w:p w:rsidR="007E360C" w:rsidRPr="00496FD7" w:rsidRDefault="007E360C" w:rsidP="007E360C">
      <w:r w:rsidRPr="00496FD7">
        <w:t>С</w:t>
      </w:r>
      <w:r w:rsidR="001029D3" w:rsidRPr="00496FD7">
        <w:t xml:space="preserve">лед което </w:t>
      </w:r>
      <w:r w:rsidR="009C542B" w:rsidRPr="00496FD7">
        <w:t>началника на отдел „Програмиране” организира изготвянето на официално писмо от името на РУО</w:t>
      </w:r>
      <w:r w:rsidR="00E727E1">
        <w:t>,</w:t>
      </w:r>
      <w:r w:rsidR="009C542B" w:rsidRPr="00496FD7">
        <w:t xml:space="preserve"> с което </w:t>
      </w:r>
      <w:r w:rsidR="001029D3" w:rsidRPr="00496FD7">
        <w:t xml:space="preserve">изпраща проекта на </w:t>
      </w:r>
      <w:r w:rsidRPr="00496FD7">
        <w:t xml:space="preserve">Насоките по </w:t>
      </w:r>
      <w:r w:rsidR="009C542B" w:rsidRPr="00496FD7">
        <w:t>процедурата</w:t>
      </w:r>
      <w:r w:rsidRPr="00496FD7">
        <w:t xml:space="preserve"> </w:t>
      </w:r>
      <w:r w:rsidR="009C542B" w:rsidRPr="00496FD7">
        <w:t>за</w:t>
      </w:r>
      <w:r w:rsidRPr="00496FD7">
        <w:t xml:space="preserve"> съгласуване </w:t>
      </w:r>
      <w:r w:rsidR="009C542B" w:rsidRPr="00496FD7">
        <w:t>за съответствие с приложимите правила за държавните помощи с министъра на финансите по ред, определен от него и съобразно правомощията му съгласно Закона за държавните помощи.</w:t>
      </w:r>
    </w:p>
    <w:p w:rsidR="007E360C" w:rsidRPr="00496FD7" w:rsidRDefault="007E360C" w:rsidP="00E727E1">
      <w:bookmarkStart w:id="72" w:name="_Ref395878492"/>
      <w:r w:rsidRPr="00496FD7">
        <w:t xml:space="preserve">След получаване на становището </w:t>
      </w:r>
      <w:r w:rsidR="009C542B" w:rsidRPr="00496FD7">
        <w:t>от МФ</w:t>
      </w:r>
      <w:r w:rsidRPr="00496FD7">
        <w:t xml:space="preserve">, директорът на дирекция КПП резолира на началника на отдел „Информация, публичност и техническа помощ” да организира публикуването на съгласуваният проект на Насоките на интернет страницата на ПТС в ЕИП - </w:t>
      </w:r>
      <w:hyperlink r:id="rId30" w:history="1">
        <w:r w:rsidRPr="00496FD7">
          <w:rPr>
            <w:color w:val="0000FF"/>
            <w:u w:val="single"/>
          </w:rPr>
          <w:t>www.eufunds.bg</w:t>
        </w:r>
      </w:hyperlink>
      <w:r w:rsidRPr="00496FD7">
        <w:t xml:space="preserve"> за предложения и становища от конкретните бенефициенти по програмата. Срокът за предложения и становища не трябва да е по-кратък от </w:t>
      </w:r>
      <w:r w:rsidR="009C542B" w:rsidRPr="00496FD7">
        <w:t>една седмица</w:t>
      </w:r>
      <w:r w:rsidRPr="00496FD7">
        <w:t xml:space="preserve">. </w:t>
      </w:r>
      <w:bookmarkEnd w:id="72"/>
    </w:p>
    <w:p w:rsidR="006B1C56" w:rsidRDefault="006B1C56" w:rsidP="006B1C56">
      <w:r w:rsidRPr="00162238">
        <w:t xml:space="preserve">Проектите на </w:t>
      </w:r>
      <w:r>
        <w:t>насоките</w:t>
      </w:r>
      <w:r w:rsidRPr="00162238">
        <w:t xml:space="preserve"> при процедури чрез подбор се публикуват в ИСУН преди внасянето им за утвърждаване. Информация относно публикуваните в ИСУН проекти на документи се публикува на интернет страницата на </w:t>
      </w:r>
      <w:r>
        <w:t>ПТС</w:t>
      </w:r>
      <w:r w:rsidRPr="00162238">
        <w:t xml:space="preserve"> и/или в Единния информационен портал. Заинтересованите лица могат да изпращат писмени предложения и възражения по проектите на документи посредством ИСУН в определен от управляващия орган срок, който не може да бъде по-кратък от една седмица. За неуредените въпроси, свързани с обсъждането на постъпилите предложения и възражения, се прилага глава пета, раздел ІІ от Административно</w:t>
      </w:r>
      <w:r w:rsidR="00E727E1">
        <w:t>-</w:t>
      </w:r>
      <w:r w:rsidRPr="00162238">
        <w:t>процесуалния кодекс.</w:t>
      </w:r>
    </w:p>
    <w:p w:rsidR="007E360C" w:rsidRPr="00496FD7" w:rsidRDefault="007E360C" w:rsidP="009C542B">
      <w:r w:rsidRPr="00496FD7">
        <w:t xml:space="preserve">След изтичане на срока </w:t>
      </w:r>
      <w:r w:rsidR="009C542B" w:rsidRPr="00496FD7">
        <w:t>за обсъждане</w:t>
      </w:r>
      <w:r w:rsidRPr="00496FD7">
        <w:t xml:space="preserve"> </w:t>
      </w:r>
      <w:r w:rsidR="009C542B" w:rsidRPr="00496FD7">
        <w:t>директора на дирекция КПП</w:t>
      </w:r>
      <w:r w:rsidRPr="00496FD7">
        <w:t xml:space="preserve"> възлага на експерти </w:t>
      </w:r>
      <w:r w:rsidR="009C542B" w:rsidRPr="00496FD7">
        <w:t xml:space="preserve">от отделите по компетентност </w:t>
      </w:r>
      <w:r w:rsidRPr="00496FD7">
        <w:t>да анализира</w:t>
      </w:r>
      <w:r w:rsidR="009C542B" w:rsidRPr="00496FD7">
        <w:t>т</w:t>
      </w:r>
      <w:r w:rsidRPr="00496FD7">
        <w:t xml:space="preserve"> получените предложения и становища и при обоснована необходимост да </w:t>
      </w:r>
      <w:r w:rsidR="009C542B" w:rsidRPr="00496FD7">
        <w:t xml:space="preserve">се </w:t>
      </w:r>
      <w:r w:rsidRPr="00496FD7">
        <w:t xml:space="preserve">ревизира проекта на Насоките. </w:t>
      </w:r>
    </w:p>
    <w:p w:rsidR="007E360C" w:rsidRDefault="007E360C" w:rsidP="009C542B">
      <w:r w:rsidRPr="00496FD7">
        <w:lastRenderedPageBreak/>
        <w:t>Насоките заедно с покана за представяне на проектно предложение</w:t>
      </w:r>
      <w:r w:rsidR="00457FB0">
        <w:t xml:space="preserve"> (при процедура на директно предоставяне на БФП)</w:t>
      </w:r>
      <w:r w:rsidRPr="00496FD7">
        <w:t xml:space="preserve"> се публикуват от отговорните експерти от отдел „Информация, публичност и техническа помощ”</w:t>
      </w:r>
      <w:r w:rsidR="009C542B" w:rsidRPr="00496FD7">
        <w:t xml:space="preserve"> </w:t>
      </w:r>
      <w:r w:rsidRPr="00496FD7">
        <w:t>по резолюция на началника на отдела.</w:t>
      </w:r>
      <w:r w:rsidR="00162238">
        <w:t xml:space="preserve"> </w:t>
      </w:r>
    </w:p>
    <w:p w:rsidR="00162238" w:rsidRPr="00496FD7" w:rsidRDefault="00162238" w:rsidP="009C542B"/>
    <w:p w:rsidR="007E360C" w:rsidRPr="00496FD7" w:rsidRDefault="007E360C" w:rsidP="007E360C">
      <w:r w:rsidRPr="00496FD7">
        <w:t xml:space="preserve">Насоките по </w:t>
      </w:r>
      <w:r w:rsidR="001E6A48" w:rsidRPr="00496FD7">
        <w:t>процедурите</w:t>
      </w:r>
      <w:r w:rsidRPr="00496FD7">
        <w:t xml:space="preserve"> могат да бъдат отделни за вс</w:t>
      </w:r>
      <w:r w:rsidR="00FC29FF">
        <w:t>еки</w:t>
      </w:r>
      <w:r w:rsidRPr="00496FD7">
        <w:t xml:space="preserve"> от приоритетите или в едни насоки да е представена информация обединяваща няколко/всички приоритети по програма. Аналогично и същевременно независимо от насоките поканата може да бъде отделна за вс</w:t>
      </w:r>
      <w:r w:rsidR="0093596D">
        <w:t>е</w:t>
      </w:r>
      <w:r w:rsidRPr="00496FD7">
        <w:t>к</w:t>
      </w:r>
      <w:r w:rsidR="0093596D">
        <w:t>и</w:t>
      </w:r>
      <w:r w:rsidRPr="00496FD7">
        <w:t xml:space="preserve"> от приоритет</w:t>
      </w:r>
      <w:r w:rsidR="0093596D">
        <w:t>и</w:t>
      </w:r>
      <w:r w:rsidRPr="00496FD7">
        <w:t>те или да е представена информация обединяваща няколко/всички приоритети по програма.</w:t>
      </w:r>
    </w:p>
    <w:p w:rsidR="007E360C" w:rsidRDefault="007E360C" w:rsidP="001E6A48">
      <w:r w:rsidRPr="00496FD7">
        <w:t xml:space="preserve">Във връзка с подготовката на проектните предложения, в случай на постъпили въпроси по </w:t>
      </w:r>
      <w:r w:rsidR="007C4548" w:rsidRPr="00496FD7">
        <w:t>Насоките по процедурата</w:t>
      </w:r>
      <w:r w:rsidRPr="00496FD7">
        <w:t xml:space="preserve"> от конкретните бенефициенти УО на ПТС дава допълнителни указания и отговаря на постъпили въпроси от конкретните бенефициенти. </w:t>
      </w:r>
    </w:p>
    <w:p w:rsidR="0093596D" w:rsidRPr="00496FD7" w:rsidRDefault="0093596D" w:rsidP="001E6A48"/>
    <w:p w:rsidR="007E360C" w:rsidRPr="00496FD7" w:rsidRDefault="007E360C" w:rsidP="007E360C">
      <w:pPr>
        <w:rPr>
          <w:lang w:eastAsia="bg-BG"/>
        </w:rPr>
      </w:pPr>
      <w:r w:rsidRPr="00496FD7">
        <w:rPr>
          <w:i/>
          <w:lang w:eastAsia="bg-BG"/>
        </w:rPr>
        <w:t>Срок за изпълнение:</w:t>
      </w:r>
      <w:r w:rsidRPr="00496FD7">
        <w:rPr>
          <w:lang w:eastAsia="bg-BG"/>
        </w:rPr>
        <w:t xml:space="preserve"> до 11 работни дни от получаване на запитването</w:t>
      </w:r>
    </w:p>
    <w:p w:rsidR="007E360C" w:rsidRPr="00496FD7" w:rsidRDefault="007E360C" w:rsidP="007E360C">
      <w:pPr>
        <w:rPr>
          <w:lang w:eastAsia="bg-BG"/>
        </w:rPr>
      </w:pPr>
    </w:p>
    <w:p w:rsidR="007E360C" w:rsidRDefault="007E360C" w:rsidP="001E6A48">
      <w:r w:rsidRPr="00496FD7">
        <w:t xml:space="preserve">При необходимост УО на ПТС може да организира срещи, семинари, обучения с цел допълнителни разяснения и указания към бенефициентите по Насоките по </w:t>
      </w:r>
      <w:r w:rsidR="001E6A48" w:rsidRPr="00496FD7">
        <w:t>процедурите</w:t>
      </w:r>
      <w:r w:rsidRPr="00496FD7">
        <w:t xml:space="preserve">. </w:t>
      </w:r>
    </w:p>
    <w:p w:rsidR="0093596D" w:rsidRPr="00496FD7" w:rsidRDefault="0093596D" w:rsidP="001E6A48"/>
    <w:p w:rsidR="007E360C" w:rsidRPr="009175F1" w:rsidRDefault="007E360C" w:rsidP="007E360C">
      <w:pPr>
        <w:pStyle w:val="Style3"/>
        <w:rPr>
          <w:lang w:val="bg-BG" w:eastAsia="bg-BG"/>
        </w:rPr>
      </w:pPr>
      <w:bookmarkStart w:id="73" w:name="_Toc479775630"/>
      <w:r w:rsidRPr="009175F1">
        <w:rPr>
          <w:lang w:val="bg-BG" w:eastAsia="bg-BG"/>
        </w:rPr>
        <w:t xml:space="preserve">Актуализиране на Насоките по </w:t>
      </w:r>
      <w:bookmarkEnd w:id="73"/>
      <w:r w:rsidR="001E6A48" w:rsidRPr="009175F1">
        <w:rPr>
          <w:lang w:val="bg-BG" w:eastAsia="bg-BG"/>
        </w:rPr>
        <w:t>процедурите</w:t>
      </w:r>
    </w:p>
    <w:p w:rsidR="007E360C" w:rsidRPr="00496FD7" w:rsidRDefault="007E360C" w:rsidP="007E360C">
      <w:pPr>
        <w:rPr>
          <w:lang w:eastAsia="bg-BG"/>
        </w:rPr>
      </w:pPr>
      <w:r w:rsidRPr="00496FD7">
        <w:rPr>
          <w:lang w:eastAsia="bg-BG"/>
        </w:rPr>
        <w:t xml:space="preserve">При възникнала необходимост Насоките по </w:t>
      </w:r>
      <w:r w:rsidR="001E6A48" w:rsidRPr="00496FD7">
        <w:rPr>
          <w:lang w:eastAsia="bg-BG"/>
        </w:rPr>
        <w:t>процедурите</w:t>
      </w:r>
      <w:r w:rsidRPr="00496FD7">
        <w:rPr>
          <w:lang w:eastAsia="bg-BG"/>
        </w:rPr>
        <w:t xml:space="preserve"> могат да бъдат изменяни. Утвърдените Насоки по ПТС в частта, определяща условията за кандидатстване, може да се изменят:</w:t>
      </w:r>
    </w:p>
    <w:p w:rsidR="007E360C" w:rsidRPr="00496FD7" w:rsidRDefault="007E360C" w:rsidP="00E80472">
      <w:pPr>
        <w:pStyle w:val="ListParagraph"/>
        <w:numPr>
          <w:ilvl w:val="1"/>
          <w:numId w:val="78"/>
        </w:numPr>
        <w:ind w:left="0" w:firstLine="851"/>
        <w:rPr>
          <w:lang w:eastAsia="bg-BG"/>
        </w:rPr>
      </w:pPr>
      <w:r w:rsidRPr="00496FD7">
        <w:rPr>
          <w:lang w:eastAsia="bg-BG"/>
        </w:rPr>
        <w:t>при промени в правото на Европейския съюз и/или българското законодателство, в политиката на европейско и/или национално ниво, основана на стратегически документ или в ПТС, които налагат привеждане на Насоките в съответствие с тях;</w:t>
      </w:r>
    </w:p>
    <w:p w:rsidR="007E360C" w:rsidRPr="00496FD7" w:rsidRDefault="007E360C" w:rsidP="00E80472">
      <w:pPr>
        <w:pStyle w:val="ListParagraph"/>
        <w:numPr>
          <w:ilvl w:val="1"/>
          <w:numId w:val="78"/>
        </w:numPr>
        <w:ind w:left="0" w:firstLine="851"/>
        <w:rPr>
          <w:lang w:eastAsia="bg-BG"/>
        </w:rPr>
      </w:pPr>
      <w:r w:rsidRPr="00496FD7">
        <w:rPr>
          <w:lang w:eastAsia="bg-BG"/>
        </w:rPr>
        <w:t>за увеличаване/ намаляване на финансовия ресурс по процедура/и по ПТС;</w:t>
      </w:r>
    </w:p>
    <w:p w:rsidR="007E360C" w:rsidRPr="00496FD7" w:rsidRDefault="007E360C" w:rsidP="007E360C">
      <w:pPr>
        <w:rPr>
          <w:lang w:eastAsia="bg-BG"/>
        </w:rPr>
      </w:pPr>
    </w:p>
    <w:p w:rsidR="007E360C" w:rsidRPr="00496FD7" w:rsidRDefault="007E360C" w:rsidP="007E360C">
      <w:pPr>
        <w:rPr>
          <w:lang w:eastAsia="bg-BG"/>
        </w:rPr>
      </w:pPr>
      <w:r w:rsidRPr="00496FD7">
        <w:rPr>
          <w:lang w:eastAsia="bg-BG"/>
        </w:rPr>
        <w:t>В случай, че промяната е несъществена (техническа грешка, допълнителни указания) промяната се извършва от експерти в отдел „Програмиране“ на дирекция КПП</w:t>
      </w:r>
      <w:r w:rsidR="001E6A48" w:rsidRPr="00496FD7">
        <w:rPr>
          <w:lang w:eastAsia="bg-BG"/>
        </w:rPr>
        <w:t>, а в останалите случаи от отделите по компетентност</w:t>
      </w:r>
      <w:r w:rsidRPr="00496FD7">
        <w:rPr>
          <w:lang w:eastAsia="bg-BG"/>
        </w:rPr>
        <w:t>.</w:t>
      </w:r>
    </w:p>
    <w:p w:rsidR="007E360C" w:rsidRPr="00496FD7" w:rsidRDefault="007E360C" w:rsidP="007E360C">
      <w:pPr>
        <w:rPr>
          <w:lang w:eastAsia="bg-BG"/>
        </w:rPr>
      </w:pPr>
    </w:p>
    <w:p w:rsidR="007E360C" w:rsidRPr="00496FD7" w:rsidRDefault="007E360C" w:rsidP="007E360C">
      <w:pPr>
        <w:rPr>
          <w:lang w:eastAsia="bg-BG"/>
        </w:rPr>
      </w:pPr>
      <w:r w:rsidRPr="00496FD7">
        <w:rPr>
          <w:lang w:eastAsia="bg-BG"/>
        </w:rPr>
        <w:t xml:space="preserve">Актуалните Насоки по ПТС се предоставят на бенефициентите, като се публикуват на страницата на ПТС от отговорните експерти от отдел </w:t>
      </w:r>
      <w:r w:rsidRPr="00496FD7">
        <w:t>„Информация, публичност и техническа помощ”</w:t>
      </w:r>
      <w:r w:rsidRPr="00496FD7">
        <w:rPr>
          <w:lang w:eastAsia="bg-BG"/>
        </w:rPr>
        <w:t>по резолюция на началника на отдела</w:t>
      </w:r>
      <w:r w:rsidRPr="00496FD7">
        <w:t xml:space="preserve">. </w:t>
      </w:r>
      <w:r w:rsidRPr="00496FD7">
        <w:rPr>
          <w:lang w:eastAsia="bg-BG"/>
        </w:rPr>
        <w:t>При публикуването на актуалните Насоки по ПТС по-старите версии се архивират, така че да е ясно различим актуалния документ от предишните му версии.</w:t>
      </w:r>
    </w:p>
    <w:p w:rsidR="001E6A48" w:rsidRPr="00496FD7" w:rsidRDefault="001E6A48" w:rsidP="001029D3"/>
    <w:p w:rsidR="001029D3" w:rsidRPr="00496FD7" w:rsidRDefault="001029D3" w:rsidP="001029D3">
      <w:r w:rsidRPr="00496FD7">
        <w:t>Кандидат в процедура може да иска разяснения по Насоките по процедурата в срок до три седмици преди изтичането на срока за кандидатстване. Разясненията се утвърждават от ръководителя на управляващия орган на ПТС. Разясненията се дават по отношение на условията за кандидатстване, не съдържат становище относно качеството на проектното предложение и са задължителни за всички кандидати. Разясненията се съобщават по реда на чл. 26, ал. 6 от ЗУСЕФСУ в срок до две седмици преди изтичането на срока за кандидатстване.</w:t>
      </w:r>
    </w:p>
    <w:p w:rsidR="007E360C" w:rsidRPr="00496FD7" w:rsidRDefault="007E360C" w:rsidP="007E360C">
      <w:pPr>
        <w:rPr>
          <w:szCs w:val="24"/>
          <w:lang w:eastAsia="bg-BG"/>
        </w:rPr>
      </w:pPr>
    </w:p>
    <w:p w:rsidR="007E360C" w:rsidRPr="00496FD7" w:rsidRDefault="007E360C" w:rsidP="007E360C">
      <w:pPr>
        <w:pStyle w:val="Style2"/>
        <w:rPr>
          <w:lang w:eastAsia="bg-BG"/>
        </w:rPr>
      </w:pPr>
      <w:bookmarkStart w:id="74" w:name="_Toc479775631"/>
      <w:bookmarkStart w:id="75" w:name="_Toc140150209"/>
      <w:bookmarkStart w:id="76" w:name="_Toc152769889"/>
      <w:r w:rsidRPr="00496FD7">
        <w:rPr>
          <w:lang w:eastAsia="bg-BG"/>
        </w:rPr>
        <w:t>Формуляри за кандидатстване</w:t>
      </w:r>
      <w:bookmarkEnd w:id="74"/>
      <w:bookmarkEnd w:id="75"/>
      <w:bookmarkEnd w:id="76"/>
    </w:p>
    <w:p w:rsidR="007E360C" w:rsidRPr="00496FD7" w:rsidRDefault="007E360C" w:rsidP="007E360C">
      <w:pPr>
        <w:pStyle w:val="Style3"/>
        <w:rPr>
          <w:lang w:eastAsia="bg-BG"/>
        </w:rPr>
      </w:pPr>
      <w:bookmarkStart w:id="77" w:name="_Toc479775632"/>
      <w:r w:rsidRPr="00496FD7">
        <w:rPr>
          <w:lang w:eastAsia="bg-BG"/>
        </w:rPr>
        <w:lastRenderedPageBreak/>
        <w:t>Видове формуляри за кандидатстване</w:t>
      </w:r>
      <w:bookmarkEnd w:id="77"/>
    </w:p>
    <w:p w:rsidR="001E6A48" w:rsidRPr="00496FD7" w:rsidRDefault="007E360C" w:rsidP="007E360C">
      <w:r w:rsidRPr="00496FD7">
        <w:t xml:space="preserve">За всички процедури за предоставяне на БФП, Управляващият орган създава формуляр за кандидатстване в модул „Процедури“ на ИСУН 2020. </w:t>
      </w:r>
    </w:p>
    <w:p w:rsidR="007E360C" w:rsidRPr="00496FD7" w:rsidRDefault="007E360C" w:rsidP="001E6A48">
      <w:pPr>
        <w:pStyle w:val="ListParagraph"/>
        <w:numPr>
          <w:ilvl w:val="0"/>
          <w:numId w:val="79"/>
        </w:numPr>
        <w:ind w:left="0" w:firstLine="851"/>
      </w:pPr>
      <w:bookmarkStart w:id="78" w:name="_Ref395878515"/>
      <w:r w:rsidRPr="00496FD7">
        <w:t>За проектни предложения</w:t>
      </w:r>
      <w:bookmarkEnd w:id="78"/>
      <w:r w:rsidR="001E6A48" w:rsidRPr="00496FD7">
        <w:t xml:space="preserve"> з</w:t>
      </w:r>
      <w:r w:rsidRPr="00496FD7">
        <w:t>а инвестиционни</w:t>
      </w:r>
      <w:r w:rsidR="001E6A48" w:rsidRPr="00496FD7">
        <w:t xml:space="preserve"> проекти;</w:t>
      </w:r>
    </w:p>
    <w:p w:rsidR="001E6A48" w:rsidRPr="00496FD7" w:rsidRDefault="007E360C" w:rsidP="00E80472">
      <w:pPr>
        <w:pStyle w:val="ListParagraph"/>
        <w:numPr>
          <w:ilvl w:val="0"/>
          <w:numId w:val="79"/>
        </w:numPr>
        <w:ind w:left="0" w:firstLine="851"/>
      </w:pPr>
      <w:r w:rsidRPr="00496FD7">
        <w:t>За проектни предложения за техническа помощ</w:t>
      </w:r>
      <w:r w:rsidR="001E6A48" w:rsidRPr="00496FD7">
        <w:t xml:space="preserve"> и</w:t>
      </w:r>
      <w:r w:rsidRPr="00496FD7">
        <w:t xml:space="preserve"> за подготовка на инвестиционни проекти </w:t>
      </w:r>
    </w:p>
    <w:p w:rsidR="007E360C" w:rsidRPr="00496FD7" w:rsidRDefault="007E360C" w:rsidP="00053B96">
      <w:pPr>
        <w:pStyle w:val="ListParagraph"/>
        <w:numPr>
          <w:ilvl w:val="0"/>
          <w:numId w:val="79"/>
        </w:numPr>
        <w:ind w:left="0" w:firstLine="851"/>
      </w:pPr>
      <w:r w:rsidRPr="00496FD7">
        <w:t>Бюджетни линии</w:t>
      </w:r>
      <w:r w:rsidR="00053B96" w:rsidRPr="00496FD7">
        <w:t xml:space="preserve"> </w:t>
      </w:r>
      <w:r w:rsidR="00CD7E74">
        <w:t xml:space="preserve">- </w:t>
      </w:r>
      <w:r w:rsidR="00053B96" w:rsidRPr="00496FD7">
        <w:t>Безвъзмездна финансова помощ може да се предоставя чрез бюджетна линия на конкретен бенефициент – УО на ПТС за финансиране на осъществявани от него дейности по управление на средствата от ЕФСУ в рамките на определените в ПТС средства за техническа помощ.</w:t>
      </w:r>
      <w:r w:rsidR="00053B96" w:rsidRPr="00496FD7">
        <w:rPr>
          <w:b/>
        </w:rPr>
        <w:t xml:space="preserve"> </w:t>
      </w:r>
      <w:r w:rsidRPr="00496FD7">
        <w:t xml:space="preserve">В този случай се използва образец на финансов план за предоставяне на финансова помощ чрез бюджетна линия от утвърден със заповед № </w:t>
      </w:r>
      <w:r w:rsidR="00053B96" w:rsidRPr="00496FD7">
        <w:t>Р</w:t>
      </w:r>
      <w:r w:rsidRPr="00496FD7">
        <w:t>-</w:t>
      </w:r>
      <w:r w:rsidR="00053B96" w:rsidRPr="00496FD7">
        <w:t>64</w:t>
      </w:r>
      <w:r w:rsidRPr="00496FD7">
        <w:t>/</w:t>
      </w:r>
      <w:r w:rsidR="00053B96" w:rsidRPr="00496FD7">
        <w:t>30.03</w:t>
      </w:r>
      <w:r w:rsidRPr="00496FD7">
        <w:t>.20</w:t>
      </w:r>
      <w:r w:rsidR="00053B96" w:rsidRPr="00496FD7">
        <w:t>23</w:t>
      </w:r>
      <w:r w:rsidRPr="00496FD7">
        <w:t xml:space="preserve"> г. на </w:t>
      </w:r>
      <w:r w:rsidR="00053B96" w:rsidRPr="00496FD7">
        <w:t>заместник министър-председателя по управление на Европейските средства</w:t>
      </w:r>
      <w:r w:rsidRPr="00496FD7">
        <w:t xml:space="preserve">. </w:t>
      </w:r>
    </w:p>
    <w:p w:rsidR="00053B96" w:rsidRPr="00496FD7" w:rsidRDefault="00053B96" w:rsidP="00053B96">
      <w:pPr>
        <w:pStyle w:val="ListParagraph"/>
        <w:ind w:left="851" w:firstLine="0"/>
      </w:pPr>
    </w:p>
    <w:p w:rsidR="00053B96" w:rsidRPr="00496FD7" w:rsidRDefault="00053B96" w:rsidP="00053B96">
      <w:r w:rsidRPr="00496FD7">
        <w:t>Кандидатстването на проектни предложения за финансиране по ПТС се осъществява посредством попълнен ФК, изготвен съгласно изискванията на Модул „Е-кандидатстване“, Под-модул „Проектни предложения” на ИСУН 2020 и в съответствие с Насоките. Всички полета с данни на ФК/ФП трябва да бъдат коректно попълнени от бенефициента в съответствие с указанията посочени в Насоките и изискванията за попълване на ФК/ФП.</w:t>
      </w:r>
    </w:p>
    <w:p w:rsidR="00053B96" w:rsidRPr="00496FD7" w:rsidRDefault="00053B96" w:rsidP="00053B96"/>
    <w:p w:rsidR="00053B96" w:rsidRPr="00496FD7" w:rsidRDefault="00053B96" w:rsidP="00053B96">
      <w:r w:rsidRPr="00496FD7">
        <w:t>В раздел „Допълнителна информация необходима за оценка на проектното предложение“ УО на ПТС може да създава неограничен на брой текстови полета с конкретни изисквания.</w:t>
      </w:r>
    </w:p>
    <w:p w:rsidR="007E360C" w:rsidRPr="00496FD7" w:rsidRDefault="007E360C" w:rsidP="007E360C">
      <w:pPr>
        <w:rPr>
          <w:szCs w:val="24"/>
          <w:lang w:eastAsia="bg-BG"/>
        </w:rPr>
      </w:pPr>
    </w:p>
    <w:p w:rsidR="007E360C" w:rsidRPr="00496FD7" w:rsidRDefault="007E360C" w:rsidP="007E360C">
      <w:pPr>
        <w:rPr>
          <w:szCs w:val="24"/>
          <w:lang w:eastAsia="bg-BG"/>
        </w:rPr>
      </w:pPr>
    </w:p>
    <w:p w:rsidR="007E360C" w:rsidRPr="00496FD7" w:rsidRDefault="007E360C" w:rsidP="007E360C">
      <w:pPr>
        <w:pStyle w:val="Style3"/>
        <w:rPr>
          <w:lang w:eastAsia="bg-BG"/>
        </w:rPr>
      </w:pPr>
      <w:bookmarkStart w:id="79" w:name="_Toc479775634"/>
      <w:r w:rsidRPr="00496FD7">
        <w:rPr>
          <w:lang w:eastAsia="bg-BG"/>
        </w:rPr>
        <w:t>Съпътстващи документи към ФК</w:t>
      </w:r>
      <w:bookmarkEnd w:id="79"/>
    </w:p>
    <w:p w:rsidR="007E360C" w:rsidRPr="00496FD7" w:rsidRDefault="007E360C" w:rsidP="007E360C">
      <w:pPr>
        <w:rPr>
          <w:lang w:eastAsia="bg-BG"/>
        </w:rPr>
      </w:pPr>
      <w:r w:rsidRPr="00496FD7">
        <w:rPr>
          <w:lang w:eastAsia="bg-BG"/>
        </w:rPr>
        <w:t>Съпътстващите документи</w:t>
      </w:r>
      <w:r w:rsidR="00865ED3">
        <w:rPr>
          <w:lang w:eastAsia="bg-BG"/>
        </w:rPr>
        <w:t xml:space="preserve"> се представят в съответствие с изискванията на насоките по процедурата и </w:t>
      </w:r>
      <w:r w:rsidRPr="00496FD7">
        <w:rPr>
          <w:lang w:eastAsia="bg-BG"/>
        </w:rPr>
        <w:t xml:space="preserve">в зависимост от типа на проектното предложение </w:t>
      </w:r>
      <w:r w:rsidR="00865ED3">
        <w:rPr>
          <w:lang w:eastAsia="bg-BG"/>
        </w:rPr>
        <w:t>и могат да бъдат</w:t>
      </w:r>
      <w:r w:rsidRPr="00496FD7">
        <w:rPr>
          <w:lang w:eastAsia="bg-BG"/>
        </w:rPr>
        <w:t>:</w:t>
      </w:r>
    </w:p>
    <w:p w:rsidR="007E360C" w:rsidRPr="00496FD7" w:rsidRDefault="007E360C" w:rsidP="00E80472">
      <w:pPr>
        <w:pStyle w:val="ListParagraph"/>
        <w:numPr>
          <w:ilvl w:val="0"/>
          <w:numId w:val="77"/>
        </w:numPr>
        <w:tabs>
          <w:tab w:val="left" w:pos="1276"/>
        </w:tabs>
        <w:ind w:left="0" w:firstLine="851"/>
        <w:rPr>
          <w:lang w:eastAsia="bg-BG"/>
        </w:rPr>
      </w:pPr>
      <w:r w:rsidRPr="00496FD7">
        <w:rPr>
          <w:lang w:eastAsia="bg-BG"/>
        </w:rPr>
        <w:t>Извършените проучвания за осъществимост, включително и анализ на вариантите, както и резултатите (когато е приложимо);</w:t>
      </w:r>
    </w:p>
    <w:p w:rsidR="007E360C" w:rsidRPr="00496FD7" w:rsidRDefault="007E360C" w:rsidP="0039478F">
      <w:pPr>
        <w:pStyle w:val="ListParagraph"/>
        <w:numPr>
          <w:ilvl w:val="0"/>
          <w:numId w:val="77"/>
        </w:numPr>
        <w:tabs>
          <w:tab w:val="left" w:pos="1276"/>
        </w:tabs>
        <w:ind w:left="0" w:firstLine="851"/>
        <w:rPr>
          <w:lang w:eastAsia="bg-BG"/>
        </w:rPr>
      </w:pPr>
      <w:r w:rsidRPr="00496FD7">
        <w:rPr>
          <w:lang w:eastAsia="bg-BG"/>
        </w:rPr>
        <w:t>Анализ „разходи-ползи”, включително икономически и финансов анализ и оценка на риска, като се вземат предвид нуждите във връзка с приспособяването към изменението на климата и смекчаване на последиците от него и устойчивостта на бедствия. Документация във връзка с проведени обществени обсъждания (когато е приложимо);</w:t>
      </w:r>
    </w:p>
    <w:p w:rsidR="007E360C" w:rsidRDefault="007E360C" w:rsidP="00E80472">
      <w:pPr>
        <w:pStyle w:val="ListParagraph"/>
        <w:numPr>
          <w:ilvl w:val="0"/>
          <w:numId w:val="77"/>
        </w:numPr>
        <w:tabs>
          <w:tab w:val="left" w:pos="1276"/>
        </w:tabs>
        <w:ind w:left="0" w:firstLine="851"/>
        <w:rPr>
          <w:lang w:eastAsia="bg-BG"/>
        </w:rPr>
      </w:pPr>
      <w:r w:rsidRPr="00496FD7">
        <w:rPr>
          <w:lang w:eastAsia="bg-BG"/>
        </w:rPr>
        <w:t>Анализ на въздействието върху околната среда (когато е приложимо);</w:t>
      </w:r>
    </w:p>
    <w:p w:rsidR="00865ED3" w:rsidRDefault="00865ED3" w:rsidP="00E80472">
      <w:pPr>
        <w:pStyle w:val="ListParagraph"/>
        <w:numPr>
          <w:ilvl w:val="0"/>
          <w:numId w:val="77"/>
        </w:numPr>
        <w:tabs>
          <w:tab w:val="left" w:pos="1276"/>
        </w:tabs>
        <w:ind w:left="0" w:firstLine="851"/>
        <w:rPr>
          <w:lang w:eastAsia="bg-BG"/>
        </w:rPr>
      </w:pPr>
      <w:r>
        <w:rPr>
          <w:lang w:eastAsia="bg-BG"/>
        </w:rPr>
        <w:t>Климатична устойчивост;</w:t>
      </w:r>
    </w:p>
    <w:p w:rsidR="00865ED3" w:rsidRPr="00865ED3" w:rsidRDefault="00865ED3" w:rsidP="00E80472">
      <w:pPr>
        <w:pStyle w:val="ListParagraph"/>
        <w:numPr>
          <w:ilvl w:val="0"/>
          <w:numId w:val="77"/>
        </w:numPr>
        <w:tabs>
          <w:tab w:val="left" w:pos="1276"/>
        </w:tabs>
        <w:ind w:left="0" w:firstLine="851"/>
        <w:rPr>
          <w:lang w:eastAsia="bg-BG"/>
        </w:rPr>
      </w:pPr>
      <w:r>
        <w:rPr>
          <w:lang w:val="en-US" w:eastAsia="bg-BG"/>
        </w:rPr>
        <w:t>DNSH;</w:t>
      </w:r>
    </w:p>
    <w:p w:rsidR="00865ED3" w:rsidRDefault="00865ED3" w:rsidP="00E80472">
      <w:pPr>
        <w:pStyle w:val="ListParagraph"/>
        <w:numPr>
          <w:ilvl w:val="0"/>
          <w:numId w:val="77"/>
        </w:numPr>
        <w:tabs>
          <w:tab w:val="left" w:pos="1276"/>
        </w:tabs>
        <w:ind w:left="0" w:firstLine="851"/>
        <w:rPr>
          <w:lang w:eastAsia="bg-BG"/>
        </w:rPr>
      </w:pPr>
      <w:r>
        <w:rPr>
          <w:lang w:eastAsia="bg-BG"/>
        </w:rPr>
        <w:t>Одит на пътна безопасност;</w:t>
      </w:r>
    </w:p>
    <w:p w:rsidR="007E360C" w:rsidRPr="00496FD7" w:rsidRDefault="007E360C" w:rsidP="00E80472">
      <w:pPr>
        <w:pStyle w:val="ListParagraph"/>
        <w:numPr>
          <w:ilvl w:val="0"/>
          <w:numId w:val="77"/>
        </w:numPr>
        <w:tabs>
          <w:tab w:val="left" w:pos="1276"/>
        </w:tabs>
        <w:ind w:left="0" w:firstLine="851"/>
        <w:rPr>
          <w:lang w:eastAsia="bg-BG"/>
        </w:rPr>
      </w:pPr>
      <w:r w:rsidRPr="00496FD7">
        <w:rPr>
          <w:lang w:eastAsia="bg-BG"/>
        </w:rPr>
        <w:t>Техническа спецификация от документация/и за обществена/и поръчка/и (когато е приложимо);</w:t>
      </w:r>
    </w:p>
    <w:p w:rsidR="007E360C" w:rsidRPr="00496FD7" w:rsidRDefault="007E360C" w:rsidP="00E80472">
      <w:pPr>
        <w:pStyle w:val="ListParagraph"/>
        <w:numPr>
          <w:ilvl w:val="0"/>
          <w:numId w:val="77"/>
        </w:numPr>
        <w:tabs>
          <w:tab w:val="left" w:pos="1276"/>
        </w:tabs>
        <w:ind w:left="0" w:firstLine="851"/>
        <w:rPr>
          <w:lang w:eastAsia="bg-BG"/>
        </w:rPr>
      </w:pPr>
      <w:r w:rsidRPr="00496FD7">
        <w:rPr>
          <w:lang w:eastAsia="bg-BG"/>
        </w:rPr>
        <w:t>План и техническа документация (когато е приложимо);</w:t>
      </w:r>
    </w:p>
    <w:p w:rsidR="007E360C" w:rsidRPr="00496FD7" w:rsidRDefault="007E360C" w:rsidP="00E80472">
      <w:pPr>
        <w:pStyle w:val="ListParagraph"/>
        <w:numPr>
          <w:ilvl w:val="0"/>
          <w:numId w:val="77"/>
        </w:numPr>
        <w:tabs>
          <w:tab w:val="left" w:pos="1276"/>
        </w:tabs>
        <w:ind w:left="0" w:firstLine="851"/>
        <w:rPr>
          <w:lang w:eastAsia="bg-BG"/>
        </w:rPr>
      </w:pPr>
      <w:r w:rsidRPr="00496FD7">
        <w:rPr>
          <w:lang w:eastAsia="bg-BG"/>
        </w:rPr>
        <w:t>Картен материал, определящ местонахождението на обекта (когато е приложимо);</w:t>
      </w:r>
    </w:p>
    <w:p w:rsidR="007E360C" w:rsidRPr="00496FD7" w:rsidRDefault="007E360C" w:rsidP="00E80472">
      <w:pPr>
        <w:pStyle w:val="ListParagraph"/>
        <w:numPr>
          <w:ilvl w:val="0"/>
          <w:numId w:val="77"/>
        </w:numPr>
        <w:tabs>
          <w:tab w:val="left" w:pos="1276"/>
        </w:tabs>
        <w:ind w:left="0" w:firstLine="851"/>
        <w:rPr>
          <w:lang w:eastAsia="bg-BG"/>
        </w:rPr>
      </w:pPr>
      <w:r w:rsidRPr="00496FD7">
        <w:rPr>
          <w:lang w:eastAsia="bg-BG"/>
        </w:rPr>
        <w:t>Заверени копия от разрешителни (когато е приложимо);</w:t>
      </w:r>
    </w:p>
    <w:p w:rsidR="007E360C" w:rsidRPr="00496FD7" w:rsidRDefault="007E360C" w:rsidP="00E80472">
      <w:pPr>
        <w:pStyle w:val="ListParagraph"/>
        <w:numPr>
          <w:ilvl w:val="0"/>
          <w:numId w:val="77"/>
        </w:numPr>
        <w:tabs>
          <w:tab w:val="left" w:pos="1276"/>
        </w:tabs>
        <w:ind w:left="0" w:firstLine="851"/>
        <w:rPr>
          <w:lang w:eastAsia="bg-BG"/>
        </w:rPr>
      </w:pPr>
      <w:r w:rsidRPr="00496FD7">
        <w:rPr>
          <w:lang w:eastAsia="bg-BG"/>
        </w:rPr>
        <w:t>декларации, свързани с дейностите по проекта (когато е приложимо);</w:t>
      </w:r>
    </w:p>
    <w:p w:rsidR="007E360C" w:rsidRPr="00496FD7" w:rsidRDefault="007E360C" w:rsidP="00E80472">
      <w:pPr>
        <w:pStyle w:val="ListParagraph"/>
        <w:numPr>
          <w:ilvl w:val="0"/>
          <w:numId w:val="77"/>
        </w:numPr>
        <w:tabs>
          <w:tab w:val="left" w:pos="1276"/>
        </w:tabs>
        <w:ind w:left="0" w:firstLine="851"/>
        <w:rPr>
          <w:lang w:eastAsia="bg-BG"/>
        </w:rPr>
      </w:pPr>
      <w:r w:rsidRPr="00496FD7">
        <w:rPr>
          <w:lang w:eastAsia="bg-BG"/>
        </w:rPr>
        <w:t>Допълнителна информация от бенефициента и/или други институции/компетентни органи (когато е приложимо).</w:t>
      </w:r>
    </w:p>
    <w:p w:rsidR="007E360C" w:rsidRPr="00496FD7" w:rsidRDefault="00A92EF0" w:rsidP="007E360C">
      <w:pPr>
        <w:pStyle w:val="Style2"/>
        <w:rPr>
          <w:lang w:val="bg-BG" w:eastAsia="bg-BG"/>
        </w:rPr>
      </w:pPr>
      <w:bookmarkStart w:id="80" w:name="_Toc479775635"/>
      <w:bookmarkStart w:id="81" w:name="_Toc140150210"/>
      <w:bookmarkStart w:id="82" w:name="_Toc152769890"/>
      <w:bookmarkStart w:id="83" w:name="_Ref406350881"/>
      <w:r>
        <w:rPr>
          <w:lang w:val="bg-BG" w:eastAsia="bg-BG"/>
        </w:rPr>
        <w:lastRenderedPageBreak/>
        <w:t>Прекратяване на процедурата з</w:t>
      </w:r>
      <w:r w:rsidR="007E360C" w:rsidRPr="00496FD7">
        <w:rPr>
          <w:lang w:val="bg-BG" w:eastAsia="bg-BG"/>
        </w:rPr>
        <w:t>а предоставяне</w:t>
      </w:r>
      <w:bookmarkEnd w:id="80"/>
      <w:bookmarkEnd w:id="81"/>
      <w:r>
        <w:rPr>
          <w:lang w:val="bg-BG" w:eastAsia="bg-BG"/>
        </w:rPr>
        <w:t xml:space="preserve"> на БФП</w:t>
      </w:r>
      <w:bookmarkEnd w:id="82"/>
    </w:p>
    <w:p w:rsidR="00457FB0" w:rsidRDefault="00457FB0" w:rsidP="007E360C">
      <w:pPr>
        <w:rPr>
          <w:b/>
          <w:u w:val="single"/>
        </w:rPr>
      </w:pPr>
    </w:p>
    <w:p w:rsidR="00C01EAB" w:rsidRPr="00457FB0" w:rsidRDefault="00457FB0" w:rsidP="007E360C">
      <w:pPr>
        <w:rPr>
          <w:b/>
          <w:u w:val="single"/>
        </w:rPr>
      </w:pPr>
      <w:r w:rsidRPr="00457FB0">
        <w:rPr>
          <w:b/>
          <w:u w:val="single"/>
        </w:rPr>
        <w:t>Директно предоставяне на БФП</w:t>
      </w:r>
    </w:p>
    <w:p w:rsidR="00457FB0" w:rsidRPr="00496FD7" w:rsidRDefault="00457FB0" w:rsidP="007E360C"/>
    <w:p w:rsidR="00C01EAB" w:rsidRPr="00496FD7" w:rsidRDefault="00C01EAB" w:rsidP="00C01EAB">
      <w:r w:rsidRPr="00496FD7">
        <w:t>Съгласно чл. 46., ал. 1</w:t>
      </w:r>
      <w:r w:rsidR="00A92EF0">
        <w:t xml:space="preserve"> (при директно предоставяне)/ чл. 36, ал. 4 (при процедура на подбор)</w:t>
      </w:r>
      <w:r w:rsidRPr="00496FD7">
        <w:t xml:space="preserve"> от ЗУС</w:t>
      </w:r>
      <w:r w:rsidR="00A92EF0">
        <w:t>Е</w:t>
      </w:r>
      <w:r w:rsidRPr="00496FD7">
        <w:t>ФСУ Ръководителят на управляващия орган прекратява процедура чрез директно предоставяне на безвъзмездна финансова помощ:</w:t>
      </w:r>
    </w:p>
    <w:p w:rsidR="00C01EAB" w:rsidRDefault="00C01EAB" w:rsidP="00C01EAB">
      <w:r w:rsidRPr="00496FD7">
        <w:t>1. когато няма постъпили проектни предложения, в случай че е определен краен срок за подаване или когато всички подадени предложения са оттеглени;</w:t>
      </w:r>
    </w:p>
    <w:p w:rsidR="00EA7ECC" w:rsidRPr="00496FD7" w:rsidRDefault="00EA7ECC" w:rsidP="00C01EAB"/>
    <w:p w:rsidR="00C01EAB" w:rsidRPr="00496FD7" w:rsidRDefault="00C01EAB" w:rsidP="00C01EAB">
      <w:r w:rsidRPr="00496FD7">
        <w:t>2. при спиране на финансирането по съответната програма или по част от нея.</w:t>
      </w:r>
    </w:p>
    <w:p w:rsidR="00EA7ECC" w:rsidRDefault="00EA7ECC" w:rsidP="00C01EAB"/>
    <w:p w:rsidR="00EA7ECC" w:rsidRDefault="00EA7ECC" w:rsidP="00C01EAB">
      <w:r w:rsidRPr="00EA7ECC">
        <w:t>3. не одобрява доклада, когато в процедурата са допуснати съществени нарушения.</w:t>
      </w:r>
      <w:r>
        <w:t xml:space="preserve"> (само при процедура на подбор)</w:t>
      </w:r>
    </w:p>
    <w:p w:rsidR="00EA7ECC" w:rsidRDefault="00EA7ECC" w:rsidP="00C01EAB"/>
    <w:p w:rsidR="00C01EAB" w:rsidRPr="00496FD7" w:rsidRDefault="00C01EAB" w:rsidP="00C01EAB">
      <w:r w:rsidRPr="00496FD7">
        <w:t>Когато не е определен краен срок за подаване, ръководителят на управляващия орган може да прекрати приемането на проектни предложения, в случай че общата стойност на одобрените проекти надхвърля финансовия ресурс по процедурата.</w:t>
      </w:r>
    </w:p>
    <w:p w:rsidR="00C01EAB" w:rsidRPr="00496FD7" w:rsidRDefault="00C01EAB" w:rsidP="007E360C"/>
    <w:p w:rsidR="007E360C" w:rsidRPr="00496FD7" w:rsidRDefault="007E360C" w:rsidP="007E360C">
      <w:r w:rsidRPr="00496FD7">
        <w:t>Набирането на проектни предложения може да бъде спирано с мотивиран</w:t>
      </w:r>
      <w:r w:rsidR="00C01EAB" w:rsidRPr="00496FD7">
        <w:t>о</w:t>
      </w:r>
      <w:r w:rsidRPr="00496FD7">
        <w:t xml:space="preserve"> </w:t>
      </w:r>
      <w:r w:rsidR="00C01EAB" w:rsidRPr="00496FD7">
        <w:t>решение</w:t>
      </w:r>
      <w:r w:rsidRPr="00496FD7">
        <w:t xml:space="preserve"> на ръководителя на УО, в случай че стойността на подадените проектни предложения, включително тези, чиято оценка все още не е приключила, надхвърля финансовия ресурс по процедурата за директно предоставяне. </w:t>
      </w:r>
    </w:p>
    <w:p w:rsidR="007E360C" w:rsidRPr="00496FD7" w:rsidRDefault="007E360C" w:rsidP="007E360C">
      <w:r w:rsidRPr="00496FD7">
        <w:t xml:space="preserve">Ръководителят на УО взема решение за продължаване на набирането на проектни предложения, в случай че след извършване на оценка на проектните предложения остане финансов ресурс по процедурата за директно предоставяне. </w:t>
      </w:r>
    </w:p>
    <w:p w:rsidR="007E360C" w:rsidRPr="00496FD7" w:rsidRDefault="007E360C" w:rsidP="007E360C">
      <w:r w:rsidRPr="00496FD7">
        <w:t xml:space="preserve">Ръководителят на УО може да прекрати с </w:t>
      </w:r>
      <w:r w:rsidR="00C01EAB" w:rsidRPr="00496FD7">
        <w:t xml:space="preserve">решение </w:t>
      </w:r>
      <w:r w:rsidRPr="00496FD7">
        <w:t xml:space="preserve">набирането на проектни предложения, в случай че общата стойност на одобрените за финансиране проектни предложения надхвърля финансовия ресурс по процедурата за директно предоставяне. </w:t>
      </w:r>
    </w:p>
    <w:p w:rsidR="00C01EAB" w:rsidRPr="00496FD7" w:rsidRDefault="007E360C" w:rsidP="007E360C">
      <w:r w:rsidRPr="00496FD7">
        <w:t xml:space="preserve">Ръководителят на УО прекратява процедура чрез директно предоставяне на безвъзмездна финансова помощ при спиране на финансирането по съответната програма или по част от нея. </w:t>
      </w:r>
    </w:p>
    <w:p w:rsidR="007E360C" w:rsidRDefault="007E360C" w:rsidP="007E360C">
      <w:r w:rsidRPr="00496FD7">
        <w:t xml:space="preserve">В случай на прекратяване набирането на проектни предложения или на прекратяване на процедурата за директно предоставяне, </w:t>
      </w:r>
      <w:r w:rsidR="00C01EAB" w:rsidRPr="00496FD7">
        <w:t>Решението</w:t>
      </w:r>
      <w:r w:rsidRPr="00496FD7">
        <w:t xml:space="preserve"> за прекратяване се изпраща на конкретните бенефициенти по електронен път или на хартиен носител и се публикува на интернет страницата на ПТС (</w:t>
      </w:r>
      <w:hyperlink r:id="rId31" w:history="1">
        <w:r w:rsidRPr="00496FD7">
          <w:rPr>
            <w:rStyle w:val="Hyperlink"/>
          </w:rPr>
          <w:t>www.eufunds.bg/optti</w:t>
        </w:r>
      </w:hyperlink>
      <w:r w:rsidRPr="00496FD7">
        <w:t xml:space="preserve">) и на Единния портал. В тези случаи конкретните бенефициенти нямат право на обезщетение. </w:t>
      </w:r>
    </w:p>
    <w:p w:rsidR="00457FB0" w:rsidRDefault="00457FB0" w:rsidP="007E360C"/>
    <w:p w:rsidR="00457FB0" w:rsidRPr="00457FB0" w:rsidRDefault="00457FB0" w:rsidP="00457FB0">
      <w:pPr>
        <w:rPr>
          <w:b/>
          <w:u w:val="single"/>
        </w:rPr>
      </w:pPr>
      <w:r w:rsidRPr="00457FB0">
        <w:rPr>
          <w:b/>
          <w:u w:val="single"/>
        </w:rPr>
        <w:t>Процедура на подбор:</w:t>
      </w:r>
    </w:p>
    <w:p w:rsidR="00457FB0" w:rsidRDefault="00457FB0" w:rsidP="00457FB0"/>
    <w:p w:rsidR="00457FB0" w:rsidRDefault="00457FB0" w:rsidP="00457FB0">
      <w:r>
        <w:t>Ръководителят на управляващия орган на ПТС прекратява процедурата:</w:t>
      </w:r>
    </w:p>
    <w:p w:rsidR="00457FB0" w:rsidRDefault="00457FB0" w:rsidP="00457FB0">
      <w:r>
        <w:t>1. в случай, че не е одобрил доклада на оценителната комисия, когато в процедурата са допуснати съществени нарушения;</w:t>
      </w:r>
    </w:p>
    <w:p w:rsidR="00457FB0" w:rsidRDefault="00457FB0" w:rsidP="00457FB0">
      <w:r>
        <w:t>2. когато няма постъпили в срок проектни предложения или всички подадени предложения са оттеглени;</w:t>
      </w:r>
    </w:p>
    <w:p w:rsidR="00457FB0" w:rsidRDefault="00457FB0" w:rsidP="00457FB0">
      <w:r>
        <w:t>3. при спиране на финансирането по ПТС или на част от нея.</w:t>
      </w:r>
    </w:p>
    <w:p w:rsidR="00457FB0" w:rsidRPr="00496FD7" w:rsidRDefault="00457FB0" w:rsidP="00457FB0"/>
    <w:p w:rsidR="007E360C" w:rsidRPr="00496FD7" w:rsidRDefault="007E360C" w:rsidP="007E360C">
      <w:pPr>
        <w:pStyle w:val="Style1"/>
      </w:pPr>
      <w:bookmarkStart w:id="84" w:name="_Toc479775636"/>
      <w:bookmarkStart w:id="85" w:name="_Toc140150211"/>
      <w:bookmarkStart w:id="86" w:name="_Toc152769891"/>
      <w:r w:rsidRPr="00496FD7">
        <w:lastRenderedPageBreak/>
        <w:t>ПРОЦЕС НА ОЦЕНКА НА ПРОЕКТНИ ПРЕДЛОЖЕНИЯ</w:t>
      </w:r>
      <w:bookmarkEnd w:id="83"/>
      <w:bookmarkEnd w:id="84"/>
      <w:bookmarkEnd w:id="85"/>
      <w:bookmarkEnd w:id="86"/>
    </w:p>
    <w:p w:rsidR="007E360C" w:rsidRPr="00496FD7" w:rsidRDefault="007E360C" w:rsidP="007E360C">
      <w:r w:rsidRPr="00496FD7">
        <w:t xml:space="preserve">  </w:t>
      </w:r>
    </w:p>
    <w:p w:rsidR="007E360C" w:rsidRPr="00496FD7" w:rsidRDefault="007E360C" w:rsidP="007E360C">
      <w:pPr>
        <w:pStyle w:val="Style2"/>
        <w:rPr>
          <w:lang w:val="bg-BG"/>
        </w:rPr>
      </w:pPr>
      <w:bookmarkStart w:id="87" w:name="_Toc479775637"/>
      <w:bookmarkStart w:id="88" w:name="_Toc140150212"/>
      <w:bookmarkStart w:id="89" w:name="_Toc152769892"/>
      <w:r w:rsidRPr="00496FD7">
        <w:rPr>
          <w:lang w:val="bg-BG"/>
        </w:rPr>
        <w:t>Общи положения при оценка на проектни предложения</w:t>
      </w:r>
      <w:bookmarkEnd w:id="87"/>
      <w:bookmarkEnd w:id="88"/>
      <w:bookmarkEnd w:id="89"/>
    </w:p>
    <w:p w:rsidR="00D66302" w:rsidRDefault="00D66302" w:rsidP="007E360C"/>
    <w:p w:rsidR="00D66302" w:rsidRDefault="00D66302" w:rsidP="00D66302">
      <w:r>
        <w:t>Подборът на проектни предложения, за които се предоставя безвъзмездна финансова помощ, се провежда в съответствие със следните принципи:</w:t>
      </w:r>
    </w:p>
    <w:p w:rsidR="00D66302" w:rsidRDefault="00D66302" w:rsidP="00D66302">
      <w:r>
        <w:t>1. свободна и лоялна конкуренция;</w:t>
      </w:r>
    </w:p>
    <w:p w:rsidR="00D66302" w:rsidRDefault="00D66302" w:rsidP="00D66302">
      <w:r>
        <w:t>2. равнопоставеност и недопускане на дискриминация;</w:t>
      </w:r>
    </w:p>
    <w:p w:rsidR="00D66302" w:rsidRDefault="00D66302" w:rsidP="00D66302">
      <w:r>
        <w:t>3. публичност и прозрачност;</w:t>
      </w:r>
    </w:p>
    <w:p w:rsidR="00D66302" w:rsidRDefault="00D66302" w:rsidP="00D66302">
      <w:r>
        <w:t>4. спазване на основните права;</w:t>
      </w:r>
    </w:p>
    <w:p w:rsidR="00D66302" w:rsidRDefault="00D66302" w:rsidP="00D66302">
      <w:r>
        <w:t>5. устойчиво развитие;</w:t>
      </w:r>
    </w:p>
    <w:p w:rsidR="00D66302" w:rsidRDefault="00D66302" w:rsidP="00D66302">
      <w:r>
        <w:t>6. опазване на околната среда.</w:t>
      </w:r>
    </w:p>
    <w:p w:rsidR="00D66302" w:rsidRDefault="00D66302" w:rsidP="007E360C"/>
    <w:p w:rsidR="007E360C" w:rsidRPr="00496FD7" w:rsidRDefault="007E360C" w:rsidP="007E360C">
      <w:r w:rsidRPr="00496FD7">
        <w:t xml:space="preserve">Подготовката и оценката на проектните предложения, подадени за финансиране по ПТС се изпълнява при стриктно спазване на процедурите, правилата и указанията, разписани в Насоките </w:t>
      </w:r>
      <w:r w:rsidR="00C01EAB" w:rsidRPr="00496FD7">
        <w:t>по</w:t>
      </w:r>
      <w:r w:rsidRPr="00496FD7">
        <w:t xml:space="preserve"> процедура. </w:t>
      </w:r>
    </w:p>
    <w:p w:rsidR="00106016" w:rsidRPr="00496FD7" w:rsidRDefault="007E360C" w:rsidP="00106016">
      <w:r w:rsidRPr="00496FD7">
        <w:t xml:space="preserve">Проектни предложения, подадени за финансиране по ПТС, подлежат на оценка само ако съдържат дейности, включени в обхвата на допустимите дейности на ПТС. </w:t>
      </w:r>
      <w:r w:rsidR="00436CBC" w:rsidRPr="00496FD7">
        <w:t>Инвестиционните проекти</w:t>
      </w:r>
      <w:r w:rsidRPr="00496FD7">
        <w:t xml:space="preserve"> се оценяват само, ако са в обхвата на програмата. </w:t>
      </w:r>
      <w:r w:rsidR="00106016" w:rsidRPr="00496FD7">
        <w:t xml:space="preserve"> Специално внимание се обръща на включените операции от стратегическо значение. „Операция от стратегическо значение“ означава операция, която има значителен принос за постигането на целите на дадена програма и за която се прилагат специални мерки за мониторинг и комуникация.</w:t>
      </w:r>
    </w:p>
    <w:p w:rsidR="007E360C" w:rsidRPr="00496FD7" w:rsidRDefault="007E360C" w:rsidP="007E360C">
      <w:r w:rsidRPr="00496FD7">
        <w:t xml:space="preserve">За да бъдат финансирани от ПТС, проектните предложения трябва да бъдат финансово, икономически, социално и екологично надеждни. За да се докаже това, те трябва да бъдат подготвени в съответствие с определен брой формално административни, критерии за допустимост и технически и финансови критерии. Освен това, те трябва да отговарят на целите на ПТС и да съответстват на приоритетите по ПТС. </w:t>
      </w:r>
    </w:p>
    <w:p w:rsidR="007E360C" w:rsidRPr="00496FD7" w:rsidRDefault="007E360C" w:rsidP="007E360C">
      <w:r w:rsidRPr="00496FD7">
        <w:t>Процесът на  оценка на проектните предложения протича на следните етапи – проверка за административно съответствие, проверка на допустимост и техническа и финансова оценка. Всеки оценител извършва последователно административна проверка, проверка на допустимост, техническа и финансова оценка, като резултатите отразява в оценителна таблица</w:t>
      </w:r>
      <w:r w:rsidR="00436CBC" w:rsidRPr="00496FD7">
        <w:t xml:space="preserve"> в ИСУН</w:t>
      </w:r>
      <w:r w:rsidRPr="00496FD7">
        <w:t>.  Преминаването от един в друг етап на оценка се осъществява след решение на оценителната комисия, взето с мнозинство. Изключение прави оценката на финансовия план, която включва единствено проверка за административно съответствие и оценка за допустимост.</w:t>
      </w:r>
    </w:p>
    <w:p w:rsidR="007E360C" w:rsidRPr="00496FD7" w:rsidRDefault="007E360C" w:rsidP="007E360C">
      <w:r w:rsidRPr="00496FD7">
        <w:t>Оценителната комисия проверява декларациите, приложени към проектното предложение, като в допълнение при необходимост изисква становище на компетентен орган. Оценителната комисия няма право да се произнася върху, респективно да оценява качеството на вече утвърдени/одобрени документи от съответните, установени със закон, компетентни органи (когато такива са приложени към формуляра за кандидатстване). Оценителната комисия извършва проверката, като взема под внимание и предварителната информация за бенефициента, с която разполага, включително за предходни декларации с невярно съдържание.</w:t>
      </w:r>
    </w:p>
    <w:p w:rsidR="00865ED3" w:rsidRDefault="007E360C" w:rsidP="007E360C">
      <w:r w:rsidRPr="00496FD7">
        <w:lastRenderedPageBreak/>
        <w:t xml:space="preserve">Началника на отдел „Програмиране“ от дирекция КПП извършва проверка на извършената процедура за оценка на проектното предложение. </w:t>
      </w:r>
    </w:p>
    <w:p w:rsidR="007E360C" w:rsidRDefault="007E360C" w:rsidP="007E360C">
      <w:r w:rsidRPr="00496FD7">
        <w:t xml:space="preserve">Съгласно чл. 4, ал. 4 на </w:t>
      </w:r>
      <w:r w:rsidR="00436CBC" w:rsidRPr="00496FD7">
        <w:t>ЗУСЕФСУ</w:t>
      </w:r>
      <w:r w:rsidR="00210719" w:rsidRPr="00496FD7">
        <w:t>,</w:t>
      </w:r>
      <w:r w:rsidRPr="00496FD7">
        <w:t xml:space="preserve"> БФП </w:t>
      </w:r>
      <w:r w:rsidR="00210719" w:rsidRPr="00496FD7">
        <w:t>не се предоставя за финансиране на разходи, които вече са финансирани със средства от ЕФСУ или чрез други фондове и инструменти на Европейския съюз, както и с други публични средства, различни от тези на бенефициента.</w:t>
      </w:r>
      <w:r w:rsidR="00210719" w:rsidRPr="00496FD7">
        <w:rPr>
          <w:highlight w:val="yellow"/>
        </w:rPr>
        <w:t xml:space="preserve"> </w:t>
      </w:r>
      <w:r w:rsidRPr="00496FD7">
        <w:t xml:space="preserve">Проверката за липса на двойно финансиране се извършва от член на оценителната комисия, определен от председателя на комисията, чрез ИСУН. Резултатите от проверката се записват в Контролен лист, попълнен от член на оценителната комисия </w:t>
      </w:r>
      <w:r w:rsidRPr="00496FD7">
        <w:rPr>
          <w:rStyle w:val="Hyperlink"/>
          <w:color w:val="auto"/>
          <w:u w:val="none"/>
        </w:rPr>
        <w:t>в системата ИСУН 2020</w:t>
      </w:r>
      <w:r w:rsidRPr="00496FD7">
        <w:t>, приложен към ПНУИ на ПТС.</w:t>
      </w:r>
      <w:r w:rsidRPr="00496FD7">
        <w:rPr>
          <w:sz w:val="22"/>
          <w:szCs w:val="22"/>
          <w:lang w:eastAsia="en-US"/>
        </w:rPr>
        <w:t xml:space="preserve"> </w:t>
      </w:r>
      <w:r w:rsidRPr="00496FD7">
        <w:t>Председателят на оценителната комисия извършва втора проверка на попълнения контролен лист в ИСУН 2020.</w:t>
      </w:r>
    </w:p>
    <w:p w:rsidR="00607464" w:rsidRPr="00496FD7" w:rsidRDefault="00607464" w:rsidP="00607464">
      <w:r w:rsidRPr="00496FD7">
        <w:t xml:space="preserve">Проверката за </w:t>
      </w:r>
      <w:r>
        <w:t>съответствие с правилата за държавни помощи</w:t>
      </w:r>
      <w:r w:rsidRPr="00496FD7">
        <w:t xml:space="preserve"> се извършва от член на оценителната комисия, определен от председателя на комисията, чрез ИСУН. Резултатите от проверката се записват в Контролен лист, попълнен от член на оценителната комисия </w:t>
      </w:r>
      <w:r w:rsidRPr="00496FD7">
        <w:rPr>
          <w:rStyle w:val="Hyperlink"/>
          <w:color w:val="auto"/>
          <w:u w:val="none"/>
        </w:rPr>
        <w:t>в системата ИСУН 2020</w:t>
      </w:r>
      <w:r w:rsidRPr="00496FD7">
        <w:t>, приложен към ПНУИ на ПТС.</w:t>
      </w:r>
      <w:r w:rsidRPr="00496FD7">
        <w:rPr>
          <w:sz w:val="22"/>
          <w:szCs w:val="22"/>
          <w:lang w:eastAsia="en-US"/>
        </w:rPr>
        <w:t xml:space="preserve"> </w:t>
      </w:r>
      <w:r w:rsidRPr="00496FD7">
        <w:t>Председателят на оценителната комисия извършва втора проверка на попълнения контролен лист в ИСУН 2020.</w:t>
      </w:r>
    </w:p>
    <w:p w:rsidR="007E360C" w:rsidRPr="00496FD7" w:rsidRDefault="007E360C" w:rsidP="007E360C">
      <w:pPr>
        <w:rPr>
          <w:szCs w:val="24"/>
          <w:lang w:eastAsia="bg-BG"/>
        </w:rPr>
      </w:pPr>
      <w:r w:rsidRPr="00496FD7">
        <w:rPr>
          <w:szCs w:val="24"/>
          <w:lang w:eastAsia="bg-BG"/>
        </w:rPr>
        <w:t>Подготовката и изпълнението на проекта може да започне паралелно с подготовката на формуляр за кандидатстване/финансов план. Процедурите за оценка на проектни предложения по ПТС могат да се прилагат „преди“, „по време на“ и „след“ провеждане на процедурите за възлагане на обществените поръчки за избор на изпълнител/и за реализиране на дейности по проекта</w:t>
      </w:r>
      <w:r w:rsidR="00FF2F1B" w:rsidRPr="00496FD7">
        <w:rPr>
          <w:szCs w:val="24"/>
          <w:lang w:eastAsia="bg-BG"/>
        </w:rPr>
        <w:t>, но при спазване на правилата за държавните помощи</w:t>
      </w:r>
      <w:r w:rsidRPr="00496FD7">
        <w:rPr>
          <w:szCs w:val="24"/>
          <w:lang w:eastAsia="bg-BG"/>
        </w:rPr>
        <w:t>. В случай, че операцията е започнала преди подаването на заявление за финансиране до управляващия орган оценителната комисия се уверява, че приложимо право, касаещо операцията, е било спазено, т.е. че дейностите по проекта не са приключили.</w:t>
      </w:r>
    </w:p>
    <w:p w:rsidR="007E360C" w:rsidRPr="00496FD7" w:rsidRDefault="007E360C" w:rsidP="007E360C">
      <w:r w:rsidRPr="00496FD7">
        <w:t>Процедурите за  оценка на инвестиционни проекти, които са включени в годишните планове за действие по инициативата на ЕК, ЕИБ и Световна банка -ЕБВР, ДЖАСПЪРС (JASPERS - Joint Assistance in Supporting Projects in the European Regions/ Съвместна помощ за подготовката на проекти за европейските региони, създадена на базата на Меморандум за разбирателство,  могат да бъдат приключени от УО на ПТС след получаване на окончателното официално становище за завършеност на проекта от страна на инициативата „JASPERS”.</w:t>
      </w:r>
    </w:p>
    <w:p w:rsidR="007E360C" w:rsidRPr="004F3C52" w:rsidRDefault="007E360C" w:rsidP="007E360C">
      <w:pPr>
        <w:pStyle w:val="Style2"/>
        <w:rPr>
          <w:lang w:val="bg-BG"/>
        </w:rPr>
      </w:pPr>
      <w:bookmarkStart w:id="90" w:name="_Toc479775638"/>
      <w:bookmarkStart w:id="91" w:name="_Toc140150213"/>
      <w:bookmarkStart w:id="92" w:name="_Toc152769893"/>
      <w:bookmarkStart w:id="93" w:name="_Ref395884468"/>
      <w:r w:rsidRPr="004F3C52">
        <w:rPr>
          <w:lang w:val="bg-BG"/>
        </w:rPr>
        <w:t>Подаване на проектни предложения</w:t>
      </w:r>
      <w:bookmarkEnd w:id="90"/>
      <w:bookmarkEnd w:id="91"/>
      <w:bookmarkEnd w:id="92"/>
    </w:p>
    <w:p w:rsidR="007E360C" w:rsidRPr="00496FD7" w:rsidRDefault="007E360C" w:rsidP="00FF2F1B">
      <w:pPr>
        <w:rPr>
          <w:lang w:eastAsia="bg-BG"/>
        </w:rPr>
      </w:pPr>
      <w:r w:rsidRPr="00496FD7">
        <w:t>Подаване на проектни предложения чрез попълнени образци на ФК/ФП</w:t>
      </w:r>
      <w:r w:rsidR="00FF2F1B" w:rsidRPr="00496FD7">
        <w:t xml:space="preserve"> </w:t>
      </w:r>
      <w:r w:rsidRPr="00496FD7">
        <w:t xml:space="preserve">в системата ИСУН 2020, чрез използване на електронните услуги за изготвяне на файла и при спазване на указанията  и с помощта на ръководствата, разработени към системата. </w:t>
      </w:r>
    </w:p>
    <w:p w:rsidR="007E360C" w:rsidRPr="00496FD7" w:rsidRDefault="007E360C" w:rsidP="007E360C">
      <w:r w:rsidRPr="00496FD7">
        <w:t>Всеки конкретен бенефициент може да подаде официално искане (включително чрез ИСУН 2020) за оттегляне на проектно предложение. След получаване на искането служител от отдел „Програмиране“ извършва следните действия:</w:t>
      </w:r>
    </w:p>
    <w:p w:rsidR="007E360C" w:rsidRPr="00496FD7" w:rsidRDefault="007E360C" w:rsidP="00E80472">
      <w:pPr>
        <w:pStyle w:val="ListParagraph"/>
        <w:numPr>
          <w:ilvl w:val="0"/>
          <w:numId w:val="71"/>
        </w:numPr>
        <w:ind w:left="0" w:firstLine="1211"/>
      </w:pPr>
      <w:r w:rsidRPr="00496FD7">
        <w:t>При стартирала оценка на проектното предложение в ИСУН 2020, оценителната сесия се анулира и проектното предложение се оттегля;</w:t>
      </w:r>
    </w:p>
    <w:p w:rsidR="007E360C" w:rsidRPr="00496FD7" w:rsidRDefault="007E360C" w:rsidP="00E80472">
      <w:pPr>
        <w:pStyle w:val="ListParagraph"/>
        <w:numPr>
          <w:ilvl w:val="0"/>
          <w:numId w:val="71"/>
        </w:numPr>
        <w:ind w:left="0" w:firstLine="1211"/>
      </w:pPr>
      <w:r w:rsidRPr="00496FD7">
        <w:t>Преди стартиране на оценката на проектното предложение в ИСУН 2020 проектното предложение се оттегля.</w:t>
      </w:r>
    </w:p>
    <w:p w:rsidR="007E360C" w:rsidRPr="00496FD7" w:rsidRDefault="007E360C" w:rsidP="007E360C">
      <w:r w:rsidRPr="00496FD7">
        <w:t>Оттегляне на проектно предложение в ИСУН 2020 може да се реализира по преценка на УО без подадено искане на бенефициента на база одобрен доклад от Ръководителя на УО на ПТС.</w:t>
      </w:r>
    </w:p>
    <w:p w:rsidR="007E360C" w:rsidRPr="00496FD7" w:rsidRDefault="007E360C" w:rsidP="007E360C"/>
    <w:p w:rsidR="007E360C" w:rsidRPr="004F3C52" w:rsidRDefault="007E360C" w:rsidP="007E360C">
      <w:pPr>
        <w:pStyle w:val="Style2"/>
        <w:rPr>
          <w:lang w:val="bg-BG" w:eastAsia="bg-BG"/>
        </w:rPr>
      </w:pPr>
      <w:bookmarkStart w:id="94" w:name="_Ref406320545"/>
      <w:bookmarkStart w:id="95" w:name="_Toc479775642"/>
      <w:bookmarkStart w:id="96" w:name="_Toc140150214"/>
      <w:bookmarkStart w:id="97" w:name="_Toc152769894"/>
      <w:bookmarkStart w:id="98" w:name="_Ref395518925"/>
      <w:bookmarkEnd w:id="93"/>
      <w:r w:rsidRPr="004F3C52">
        <w:rPr>
          <w:lang w:val="bg-BG" w:eastAsia="bg-BG"/>
        </w:rPr>
        <w:t>Сформиране на оценителна комисия</w:t>
      </w:r>
      <w:bookmarkEnd w:id="94"/>
      <w:bookmarkEnd w:id="95"/>
      <w:bookmarkEnd w:id="96"/>
      <w:bookmarkEnd w:id="97"/>
    </w:p>
    <w:p w:rsidR="007E360C" w:rsidRPr="004F3C52" w:rsidRDefault="007E360C" w:rsidP="007E360C">
      <w:pPr>
        <w:pStyle w:val="Style3"/>
        <w:rPr>
          <w:lang w:val="bg-BG"/>
        </w:rPr>
      </w:pPr>
      <w:bookmarkStart w:id="99" w:name="_Ref406322050"/>
      <w:bookmarkStart w:id="100" w:name="_Toc479775643"/>
      <w:r w:rsidRPr="004F3C52">
        <w:rPr>
          <w:lang w:val="bg-BG"/>
        </w:rPr>
        <w:lastRenderedPageBreak/>
        <w:t>Решение за сформиране на оценителна комисия</w:t>
      </w:r>
      <w:bookmarkEnd w:id="99"/>
      <w:bookmarkEnd w:id="100"/>
    </w:p>
    <w:p w:rsidR="007E360C" w:rsidRPr="00496FD7" w:rsidRDefault="007E360C" w:rsidP="007E360C">
      <w:r w:rsidRPr="00496FD7">
        <w:t>Оценката на проектното предложение се извършва от оценителна комисия, сформирана с Решение на Ръководителя на УО на ПТС (</w:t>
      </w:r>
      <w:hyperlink r:id="rId32" w:tooltip="Решение за Оценителна комисия" w:history="1">
        <w:r w:rsidRPr="001776B1">
          <w:rPr>
            <w:rStyle w:val="Hyperlink"/>
            <w:i/>
          </w:rPr>
          <w:t>Приложение № 3.0</w:t>
        </w:r>
        <w:r w:rsidR="00865ED3" w:rsidRPr="001776B1">
          <w:rPr>
            <w:rStyle w:val="Hyperlink"/>
            <w:i/>
          </w:rPr>
          <w:t>1</w:t>
        </w:r>
      </w:hyperlink>
      <w:r w:rsidRPr="00496FD7">
        <w:t>), като профила на експертите се определя в зависимост от спецификата на всеки конкретен проект.</w:t>
      </w:r>
      <w:bookmarkEnd w:id="98"/>
    </w:p>
    <w:p w:rsidR="007E360C" w:rsidRPr="00496FD7" w:rsidRDefault="007E360C" w:rsidP="00E80472">
      <w:pPr>
        <w:pStyle w:val="ListParagraph"/>
        <w:numPr>
          <w:ilvl w:val="0"/>
          <w:numId w:val="62"/>
        </w:numPr>
        <w:ind w:left="0" w:firstLine="851"/>
      </w:pPr>
      <w:bookmarkStart w:id="101" w:name="_Ref395519021"/>
      <w:bookmarkStart w:id="102" w:name="_Ref406169920"/>
      <w:r w:rsidRPr="00496FD7">
        <w:t>Всяко Решение за сформиране на оценителна комисия съдържа минимум следната информация:</w:t>
      </w:r>
      <w:bookmarkEnd w:id="101"/>
      <w:bookmarkEnd w:id="102"/>
    </w:p>
    <w:p w:rsidR="007E360C" w:rsidRPr="00496FD7" w:rsidRDefault="007E360C" w:rsidP="00E80472">
      <w:pPr>
        <w:pStyle w:val="ListParagraph"/>
        <w:numPr>
          <w:ilvl w:val="0"/>
          <w:numId w:val="63"/>
        </w:numPr>
        <w:ind w:left="993" w:firstLine="0"/>
        <w:rPr>
          <w:lang w:eastAsia="bg-BG"/>
        </w:rPr>
      </w:pPr>
      <w:r w:rsidRPr="00496FD7">
        <w:rPr>
          <w:lang w:eastAsia="bg-BG"/>
        </w:rPr>
        <w:t>номер и дата на Решението за сформиране на комисията</w:t>
      </w:r>
    </w:p>
    <w:p w:rsidR="007E360C" w:rsidRPr="00496FD7" w:rsidRDefault="007E360C" w:rsidP="00E80472">
      <w:pPr>
        <w:pStyle w:val="ListParagraph"/>
        <w:numPr>
          <w:ilvl w:val="0"/>
          <w:numId w:val="63"/>
        </w:numPr>
        <w:ind w:left="993" w:firstLine="0"/>
        <w:rPr>
          <w:lang w:eastAsia="bg-BG"/>
        </w:rPr>
      </w:pPr>
      <w:r w:rsidRPr="00496FD7">
        <w:rPr>
          <w:lang w:eastAsia="bg-BG"/>
        </w:rPr>
        <w:t>състав на комисията, с посочване на имената и длъжността на нейните членове:</w:t>
      </w:r>
    </w:p>
    <w:p w:rsidR="007E360C" w:rsidRPr="00496FD7" w:rsidRDefault="007E360C" w:rsidP="00E80472">
      <w:pPr>
        <w:pStyle w:val="ListParagraph"/>
        <w:numPr>
          <w:ilvl w:val="0"/>
          <w:numId w:val="64"/>
        </w:numPr>
        <w:ind w:left="0" w:firstLine="993"/>
        <w:rPr>
          <w:lang w:eastAsia="bg-BG"/>
        </w:rPr>
      </w:pPr>
      <w:r w:rsidRPr="00496FD7">
        <w:rPr>
          <w:lang w:eastAsia="bg-BG"/>
        </w:rPr>
        <w:t>председател с право на глас, който трябва да е служител в отдел „Програмиране”. Председателят на оценителната комисия се определя на ротационен принцип между служителите от отдел „Програмиране“ и се съблюдава правилото, проектите подадени от един бенефициент да не се оценяват винаги от един и същи експерт. Началника на отдел „Програмиране“ от дирекция КПП предлага експерт от отдел „Програмиране“ за председател на оценителната комисия, който се съгласува с директора на дирекция КПП и се определя в решението за сформиране на оценителната комисия от Ръководителя на УО на ПТС, като се следи за спазването на ротационния принцип на назначаването на председателя на оценителната комисия по отношение на бенефициентите. В случай, че служител от отдел „Програмиране“, участва при подготовката на проектно предложение/ бюджетна линия, с бенефициент УО на ПТС той не може да бъде определен за председател на оценителната комисия;</w:t>
      </w:r>
    </w:p>
    <w:p w:rsidR="007E360C" w:rsidRPr="00496FD7" w:rsidRDefault="007E360C" w:rsidP="00E80472">
      <w:pPr>
        <w:pStyle w:val="ListParagraph"/>
        <w:numPr>
          <w:ilvl w:val="0"/>
          <w:numId w:val="64"/>
        </w:numPr>
        <w:ind w:left="0" w:firstLine="993"/>
        <w:rPr>
          <w:lang w:eastAsia="bg-BG"/>
        </w:rPr>
      </w:pPr>
      <w:r w:rsidRPr="00496FD7">
        <w:rPr>
          <w:lang w:eastAsia="bg-BG"/>
        </w:rPr>
        <w:t>четен брой членове (минимум двама) с право на глас, като в зависимост от спецификата на проектното предложение за членове могат да бъдат определени служители от отделите в дирекция КПП и/или от други дирекции в МТС. Членовете на оценителната комисия се определят на ротационен принцип между служителите от дирекция КПП и/или от други дирекции в МТС и се съблюдава правилото, проектите подадени от един бенефициент да не се оценяват винаги от едни и същи експерти. В зависимост от спецификата на проекта началниците на отделите от дирекция КПП предлагат експерти от отделите за членове на оценителната комисия, които се съгласуват с директора на дирекция КПП и се определят в решението за сформиране на оценителната комисия от Ръководителя на УО на ПТС, като се следи за спазването на ротационния принцип на назначаването им за членове на оценителната комисия по отношение на бенефициентите. В случай, че служител от дирекция КПП, участва при подготовката на проектно предложение/ бюджетна линия, с бенефициент УО на ПТС той не може да бъде включен в състава на оценителната комисия. При невъзможност да се спазва принципът на ротацията, Ръководителят на УО на ПТС може да използва възможността да назначи външни експерти за членове на оценителната комисия.</w:t>
      </w:r>
    </w:p>
    <w:p w:rsidR="007E360C" w:rsidRPr="00496FD7" w:rsidRDefault="007E360C" w:rsidP="00E80472">
      <w:pPr>
        <w:pStyle w:val="ListParagraph"/>
        <w:numPr>
          <w:ilvl w:val="0"/>
          <w:numId w:val="63"/>
        </w:numPr>
        <w:ind w:left="993" w:firstLine="0"/>
        <w:rPr>
          <w:lang w:eastAsia="bg-BG"/>
        </w:rPr>
      </w:pPr>
      <w:r w:rsidRPr="00496FD7">
        <w:rPr>
          <w:lang w:eastAsia="bg-BG"/>
        </w:rPr>
        <w:t>задача за изпълнение;</w:t>
      </w:r>
    </w:p>
    <w:p w:rsidR="007E360C" w:rsidRPr="00496FD7" w:rsidRDefault="007E360C" w:rsidP="00E80472">
      <w:pPr>
        <w:pStyle w:val="ListParagraph"/>
        <w:numPr>
          <w:ilvl w:val="0"/>
          <w:numId w:val="63"/>
        </w:numPr>
        <w:ind w:left="993" w:firstLine="0"/>
        <w:rPr>
          <w:lang w:eastAsia="bg-BG"/>
        </w:rPr>
      </w:pPr>
      <w:r w:rsidRPr="00496FD7">
        <w:rPr>
          <w:lang w:eastAsia="bg-BG"/>
        </w:rPr>
        <w:t>наименование на проектното предложение, подлежащо на оценка и номер на регистрацията му в ИСУН 2020;</w:t>
      </w:r>
    </w:p>
    <w:p w:rsidR="007E360C" w:rsidRPr="00496FD7" w:rsidRDefault="007E360C" w:rsidP="00E80472">
      <w:pPr>
        <w:pStyle w:val="ListParagraph"/>
        <w:numPr>
          <w:ilvl w:val="0"/>
          <w:numId w:val="63"/>
        </w:numPr>
        <w:ind w:left="993" w:firstLine="0"/>
        <w:rPr>
          <w:lang w:eastAsia="bg-BG"/>
        </w:rPr>
      </w:pPr>
      <w:r w:rsidRPr="00496FD7">
        <w:rPr>
          <w:lang w:eastAsia="bg-BG"/>
        </w:rPr>
        <w:t xml:space="preserve">наименование на процедурата и </w:t>
      </w:r>
      <w:r w:rsidR="00E30976" w:rsidRPr="00496FD7">
        <w:rPr>
          <w:lang w:eastAsia="bg-BG"/>
        </w:rPr>
        <w:t>приоритет</w:t>
      </w:r>
      <w:r w:rsidR="0055339D">
        <w:rPr>
          <w:lang w:eastAsia="bg-BG"/>
        </w:rPr>
        <w:t>а на ПТС</w:t>
      </w:r>
      <w:r w:rsidRPr="00496FD7">
        <w:rPr>
          <w:lang w:eastAsia="bg-BG"/>
        </w:rPr>
        <w:t xml:space="preserve">;   </w:t>
      </w:r>
    </w:p>
    <w:p w:rsidR="007E360C" w:rsidRPr="00496FD7" w:rsidRDefault="007E360C" w:rsidP="00E80472">
      <w:pPr>
        <w:pStyle w:val="ListParagraph"/>
        <w:numPr>
          <w:ilvl w:val="0"/>
          <w:numId w:val="63"/>
        </w:numPr>
        <w:ind w:left="993" w:firstLine="0"/>
        <w:rPr>
          <w:lang w:eastAsia="bg-BG"/>
        </w:rPr>
      </w:pPr>
      <w:r w:rsidRPr="00496FD7">
        <w:rPr>
          <w:lang w:eastAsia="bg-BG"/>
        </w:rPr>
        <w:t>срок за извършване на оценката от оценителната комисия;</w:t>
      </w:r>
    </w:p>
    <w:p w:rsidR="007E360C" w:rsidRPr="00496FD7" w:rsidRDefault="007E360C" w:rsidP="00E80472">
      <w:pPr>
        <w:pStyle w:val="ListParagraph"/>
        <w:numPr>
          <w:ilvl w:val="0"/>
          <w:numId w:val="63"/>
        </w:numPr>
        <w:ind w:left="993" w:firstLine="0"/>
        <w:rPr>
          <w:lang w:eastAsia="bg-BG"/>
        </w:rPr>
      </w:pPr>
      <w:r w:rsidRPr="00496FD7">
        <w:rPr>
          <w:lang w:eastAsia="bg-BG"/>
        </w:rPr>
        <w:t>име, длъжност и подпис на лицето, което издава Решението за сформиране на оценителната комисия.</w:t>
      </w:r>
    </w:p>
    <w:p w:rsidR="007E360C" w:rsidRPr="00496FD7" w:rsidRDefault="007E360C" w:rsidP="00E80472">
      <w:pPr>
        <w:pStyle w:val="ListParagraph"/>
        <w:numPr>
          <w:ilvl w:val="0"/>
          <w:numId w:val="63"/>
        </w:numPr>
        <w:ind w:left="993" w:firstLine="0"/>
        <w:rPr>
          <w:lang w:eastAsia="bg-BG"/>
        </w:rPr>
      </w:pPr>
      <w:r w:rsidRPr="00496FD7">
        <w:rPr>
          <w:lang w:eastAsia="bg-BG"/>
        </w:rPr>
        <w:t xml:space="preserve"> служител, отговорен за извършване на проверка за липса на конфликт на интереси;</w:t>
      </w:r>
    </w:p>
    <w:p w:rsidR="007E360C" w:rsidRPr="00496FD7" w:rsidRDefault="007E360C" w:rsidP="00E80472">
      <w:pPr>
        <w:pStyle w:val="ListParagraph"/>
        <w:numPr>
          <w:ilvl w:val="0"/>
          <w:numId w:val="63"/>
        </w:numPr>
        <w:ind w:left="993" w:firstLine="0"/>
        <w:rPr>
          <w:lang w:eastAsia="bg-BG"/>
        </w:rPr>
      </w:pPr>
      <w:r w:rsidRPr="00496FD7">
        <w:rPr>
          <w:lang w:eastAsia="bg-BG"/>
        </w:rPr>
        <w:t xml:space="preserve">отговорен служител, извършващ контрол върху работата на оценителната комисия. </w:t>
      </w:r>
    </w:p>
    <w:p w:rsidR="007E360C" w:rsidRPr="00496FD7" w:rsidRDefault="007E360C" w:rsidP="007E360C">
      <w:pPr>
        <w:tabs>
          <w:tab w:val="num" w:pos="993"/>
        </w:tabs>
        <w:spacing w:after="120"/>
        <w:ind w:left="993"/>
        <w:rPr>
          <w:szCs w:val="24"/>
          <w:lang w:eastAsia="bg-BG"/>
        </w:rPr>
      </w:pPr>
    </w:p>
    <w:p w:rsidR="007E360C" w:rsidRPr="00496FD7" w:rsidRDefault="007E360C" w:rsidP="007E360C">
      <w:pPr>
        <w:ind w:firstLine="567"/>
        <w:rPr>
          <w:szCs w:val="24"/>
          <w:lang w:eastAsia="bg-BG"/>
        </w:rPr>
      </w:pPr>
      <w:r w:rsidRPr="00496FD7">
        <w:rPr>
          <w:i/>
          <w:szCs w:val="24"/>
          <w:lang w:eastAsia="bg-BG"/>
        </w:rPr>
        <w:t>Забележки:</w:t>
      </w:r>
      <w:r w:rsidRPr="00496FD7">
        <w:rPr>
          <w:szCs w:val="24"/>
          <w:lang w:eastAsia="bg-BG"/>
        </w:rPr>
        <w:t xml:space="preserve"> </w:t>
      </w:r>
    </w:p>
    <w:p w:rsidR="007E360C" w:rsidRPr="00496FD7" w:rsidRDefault="007E360C" w:rsidP="00E80472">
      <w:pPr>
        <w:pStyle w:val="ListParagraph"/>
        <w:numPr>
          <w:ilvl w:val="0"/>
          <w:numId w:val="65"/>
        </w:numPr>
        <w:ind w:left="993" w:hanging="426"/>
        <w:rPr>
          <w:lang w:eastAsia="bg-BG"/>
        </w:rPr>
      </w:pPr>
      <w:r w:rsidRPr="00496FD7">
        <w:rPr>
          <w:lang w:eastAsia="bg-BG"/>
        </w:rPr>
        <w:t>Началникът на отдел „Програмиране” няма право да участва в състава на оценителната комисия, поради задължението за извършване на проверка на процедурата за оценка на ФК и проверка на ФК.</w:t>
      </w:r>
    </w:p>
    <w:p w:rsidR="007E360C" w:rsidRPr="00496FD7" w:rsidRDefault="007E360C" w:rsidP="00E80472">
      <w:pPr>
        <w:pStyle w:val="ListParagraph"/>
        <w:numPr>
          <w:ilvl w:val="0"/>
          <w:numId w:val="65"/>
        </w:numPr>
        <w:ind w:left="993" w:hanging="426"/>
        <w:rPr>
          <w:lang w:eastAsia="bg-BG"/>
        </w:rPr>
      </w:pPr>
      <w:r w:rsidRPr="00496FD7">
        <w:rPr>
          <w:lang w:eastAsia="bg-BG"/>
        </w:rPr>
        <w:t xml:space="preserve">В случай, че експерти от дирекция КПП участват в подготовката на проектно предложение/бюджетна линия (финансовия план) с бенефициент УО на ПТС, те не трябва да се включват в оценителната комисия.  </w:t>
      </w:r>
    </w:p>
    <w:p w:rsidR="007E360C" w:rsidRPr="00496FD7" w:rsidRDefault="007E360C" w:rsidP="007E360C">
      <w:pPr>
        <w:rPr>
          <w:lang w:eastAsia="bg-BG"/>
        </w:rPr>
      </w:pPr>
    </w:p>
    <w:p w:rsidR="007E360C" w:rsidRPr="00496FD7" w:rsidRDefault="007E360C" w:rsidP="007E360C">
      <w:pPr>
        <w:rPr>
          <w:lang w:eastAsia="bg-BG"/>
        </w:rPr>
      </w:pPr>
      <w:r w:rsidRPr="00496FD7">
        <w:rPr>
          <w:lang w:eastAsia="bg-BG"/>
        </w:rPr>
        <w:t xml:space="preserve">Оценката на проектните предложения, включваща оценка на „административното съответствие и допустимостта“ и „техническа и финансова“ оценка се извършва </w:t>
      </w:r>
      <w:r w:rsidRPr="00496FD7">
        <w:rPr>
          <w:b/>
          <w:lang w:eastAsia="bg-BG"/>
        </w:rPr>
        <w:t>до</w:t>
      </w:r>
      <w:r w:rsidRPr="00496FD7">
        <w:rPr>
          <w:lang w:eastAsia="bg-BG"/>
        </w:rPr>
        <w:t xml:space="preserve"> </w:t>
      </w:r>
      <w:r w:rsidRPr="00496FD7">
        <w:rPr>
          <w:b/>
          <w:lang w:eastAsia="bg-BG"/>
        </w:rPr>
        <w:t xml:space="preserve">три месеца </w:t>
      </w:r>
      <w:r w:rsidRPr="00496FD7">
        <w:rPr>
          <w:lang w:eastAsia="bg-BG"/>
        </w:rPr>
        <w:t xml:space="preserve">от датата на подаване на проектното предложение (чл. 44, ал. 2 от </w:t>
      </w:r>
      <w:r w:rsidR="00436CBC" w:rsidRPr="00496FD7">
        <w:rPr>
          <w:lang w:eastAsia="bg-BG"/>
        </w:rPr>
        <w:t>ЗУСЕФСУ</w:t>
      </w:r>
      <w:r w:rsidRPr="00496FD7">
        <w:rPr>
          <w:lang w:eastAsia="bg-BG"/>
        </w:rPr>
        <w:t xml:space="preserve">). </w:t>
      </w:r>
    </w:p>
    <w:p w:rsidR="007E360C" w:rsidRPr="00496FD7" w:rsidRDefault="007E360C" w:rsidP="007E360C">
      <w:pPr>
        <w:rPr>
          <w:lang w:eastAsia="bg-BG"/>
        </w:rPr>
      </w:pPr>
      <w:r w:rsidRPr="00496FD7">
        <w:rPr>
          <w:lang w:eastAsia="bg-BG"/>
        </w:rPr>
        <w:t xml:space="preserve">Оценката на формуляр за кандидатстване за финансиране на бюджетна линия (включително финансовия план), включваща оценка на административното съответствие и допустимостта се извършва в срок </w:t>
      </w:r>
      <w:r w:rsidRPr="00496FD7">
        <w:rPr>
          <w:b/>
          <w:lang w:eastAsia="bg-BG"/>
        </w:rPr>
        <w:t>до един</w:t>
      </w:r>
      <w:r w:rsidRPr="00496FD7">
        <w:rPr>
          <w:lang w:eastAsia="bg-BG"/>
        </w:rPr>
        <w:t xml:space="preserve"> </w:t>
      </w:r>
      <w:r w:rsidRPr="00496FD7">
        <w:rPr>
          <w:b/>
          <w:lang w:eastAsia="bg-BG"/>
        </w:rPr>
        <w:t>месец</w:t>
      </w:r>
      <w:r w:rsidRPr="00496FD7">
        <w:rPr>
          <w:lang w:eastAsia="bg-BG"/>
        </w:rPr>
        <w:t xml:space="preserve"> от датата на подаването му (чл. 44, ал. 3 от </w:t>
      </w:r>
      <w:r w:rsidR="00436CBC" w:rsidRPr="00496FD7">
        <w:rPr>
          <w:lang w:eastAsia="bg-BG"/>
        </w:rPr>
        <w:t>ЗУСЕФСУ</w:t>
      </w:r>
      <w:r w:rsidRPr="00496FD7">
        <w:rPr>
          <w:lang w:eastAsia="bg-BG"/>
        </w:rPr>
        <w:t>).</w:t>
      </w:r>
    </w:p>
    <w:p w:rsidR="007E360C" w:rsidRPr="00496FD7" w:rsidRDefault="007E360C" w:rsidP="00E30976">
      <w:bookmarkStart w:id="103" w:name="_Ref398634801"/>
      <w:r w:rsidRPr="00496FD7">
        <w:t>По резолюция на началник на отдел „Програмиране“ служител от отдела подготвя Решение за с</w:t>
      </w:r>
      <w:r w:rsidR="00E30976" w:rsidRPr="00496FD7">
        <w:t>формиране на оценителна комисия</w:t>
      </w:r>
      <w:r w:rsidRPr="00496FD7">
        <w:t xml:space="preserve">. Решението се съгласува с началника на отдел „Програмиране“ и се предоставя за подпис на </w:t>
      </w:r>
      <w:r w:rsidR="00E30976" w:rsidRPr="00496FD7">
        <w:t xml:space="preserve">директора на дирекция КПП - </w:t>
      </w:r>
      <w:r w:rsidRPr="00496FD7">
        <w:t>Ръководителя на УО на ПТС. След това се завежда в деловодната система на МТС от отговорен служител в отдел „Деловодство</w:t>
      </w:r>
      <w:r w:rsidR="00E30976" w:rsidRPr="00496FD7">
        <w:t xml:space="preserve"> и архив</w:t>
      </w:r>
      <w:r w:rsidRPr="00496FD7">
        <w:t>“, дирекция „Канцелария“.</w:t>
      </w:r>
      <w:bookmarkEnd w:id="103"/>
      <w:r w:rsidRPr="00496FD7">
        <w:t xml:space="preserve"> </w:t>
      </w:r>
    </w:p>
    <w:p w:rsidR="007E360C" w:rsidRPr="00496FD7" w:rsidRDefault="007E360C" w:rsidP="0055339D">
      <w:pPr>
        <w:pStyle w:val="ListParagraph"/>
        <w:numPr>
          <w:ilvl w:val="0"/>
          <w:numId w:val="62"/>
        </w:numPr>
        <w:ind w:left="0" w:firstLine="993"/>
      </w:pPr>
      <w:r w:rsidRPr="00496FD7">
        <w:t>След получаване на номер на Решението за сформиране на оценителна комисия от деловодната система на МТС, началникът на отдел „Програмиране“, създава оценителна сесия в системата ИСУН 2020 и предоставя права на определените в него служители (председателя и членовете) за оценка на конкретното проектно предложение. Достъпът се предоставя по реда, определен в системата ИСУН 2020.</w:t>
      </w:r>
    </w:p>
    <w:p w:rsidR="007E360C" w:rsidRPr="00496FD7" w:rsidRDefault="007E360C" w:rsidP="0055339D">
      <w:pPr>
        <w:pStyle w:val="ListParagraph"/>
        <w:numPr>
          <w:ilvl w:val="0"/>
          <w:numId w:val="62"/>
        </w:numPr>
        <w:ind w:left="0" w:firstLine="993"/>
      </w:pPr>
      <w:r w:rsidRPr="00496FD7">
        <w:t>По преценка на Ръководителя на УО на ПТС за подпомагане работата на оценителната комисия в Решението за сформирането й може да бъде предвидено и включване на:</w:t>
      </w:r>
    </w:p>
    <w:p w:rsidR="007E360C" w:rsidRPr="00496FD7" w:rsidRDefault="007E360C" w:rsidP="00E80472">
      <w:pPr>
        <w:pStyle w:val="ListParagraph"/>
        <w:numPr>
          <w:ilvl w:val="0"/>
          <w:numId w:val="66"/>
        </w:numPr>
        <w:rPr>
          <w:lang w:eastAsia="bg-BG"/>
        </w:rPr>
      </w:pPr>
      <w:r w:rsidRPr="00496FD7">
        <w:rPr>
          <w:lang w:eastAsia="bg-BG"/>
        </w:rPr>
        <w:t>външни експерти.</w:t>
      </w:r>
    </w:p>
    <w:p w:rsidR="007E360C" w:rsidRPr="00496FD7" w:rsidRDefault="007E360C" w:rsidP="00E80472">
      <w:pPr>
        <w:pStyle w:val="ListParagraph"/>
        <w:numPr>
          <w:ilvl w:val="0"/>
          <w:numId w:val="66"/>
        </w:numPr>
        <w:rPr>
          <w:lang w:eastAsia="bg-BG"/>
        </w:rPr>
      </w:pPr>
      <w:r w:rsidRPr="00496FD7">
        <w:rPr>
          <w:lang w:eastAsia="bg-BG"/>
        </w:rPr>
        <w:t>резервни членове;</w:t>
      </w:r>
    </w:p>
    <w:p w:rsidR="007E360C" w:rsidRPr="00496FD7" w:rsidRDefault="007E360C" w:rsidP="00E80472">
      <w:pPr>
        <w:pStyle w:val="ListParagraph"/>
        <w:numPr>
          <w:ilvl w:val="0"/>
          <w:numId w:val="66"/>
        </w:numPr>
        <w:rPr>
          <w:lang w:eastAsia="bg-BG"/>
        </w:rPr>
      </w:pPr>
      <w:r w:rsidRPr="00496FD7">
        <w:rPr>
          <w:lang w:eastAsia="bg-BG"/>
        </w:rPr>
        <w:t>наблюдатели. Те следят процедурата да бъде проведена при спазване разпоредбите на нормативната уредба. Те присъстват на заседанията на комисията, като не могат да влияят по какъвто и да е начин при оценяването на проектните предложения. При констатиране на нарушения на процедурата наблюдателят е длъжен писмено да информира ръководителя на УО на ПТС. След приключването на оценителния процес наблюдателят изготвя доклад за своята дейност до ръководителя на УО на ПТС по ред, определен в Решението за сформиране на оценителната комисия.</w:t>
      </w:r>
    </w:p>
    <w:p w:rsidR="007E360C" w:rsidRPr="00496FD7" w:rsidRDefault="007E360C" w:rsidP="00E80472">
      <w:pPr>
        <w:pStyle w:val="ListParagraph"/>
        <w:numPr>
          <w:ilvl w:val="0"/>
          <w:numId w:val="62"/>
        </w:numPr>
        <w:ind w:left="0" w:firstLine="851"/>
      </w:pPr>
      <w:r w:rsidRPr="00496FD7">
        <w:t>Председателят, членовете на оценителната комисия, наблюдателя</w:t>
      </w:r>
      <w:r w:rsidR="0055339D">
        <w:t>т</w:t>
      </w:r>
      <w:r w:rsidRPr="00496FD7">
        <w:t xml:space="preserve"> и служителя</w:t>
      </w:r>
      <w:r w:rsidR="0055339D">
        <w:t>т</w:t>
      </w:r>
      <w:r w:rsidRPr="00496FD7">
        <w:t>, отговорен за извършване на проверка за липса на конфликт на интереси трябва да притежават необходимата квалификация и професионална компетентност за изпълнение на задачите, възложени им в Решението за сформиране на оценителната комисия.</w:t>
      </w:r>
    </w:p>
    <w:p w:rsidR="007E360C" w:rsidRPr="00496FD7" w:rsidRDefault="007E360C" w:rsidP="00E80472">
      <w:pPr>
        <w:pStyle w:val="ListParagraph"/>
        <w:numPr>
          <w:ilvl w:val="0"/>
          <w:numId w:val="62"/>
        </w:numPr>
        <w:ind w:left="0" w:firstLine="851"/>
      </w:pPr>
      <w:r w:rsidRPr="00496FD7">
        <w:t xml:space="preserve">Всяка промяна в състава на участниците в оценителната комисия, независимо от основанието, се извършва с Решение на ръководителя на УО на ПТС за изменение на Решението за сформиране на оценителна комисия, което се прилага към оценителния доклад и се отразява в него. </w:t>
      </w:r>
    </w:p>
    <w:p w:rsidR="007E360C" w:rsidRPr="00496FD7" w:rsidRDefault="007E360C" w:rsidP="00E80472">
      <w:pPr>
        <w:pStyle w:val="ListParagraph"/>
        <w:numPr>
          <w:ilvl w:val="0"/>
          <w:numId w:val="62"/>
        </w:numPr>
        <w:ind w:left="0" w:firstLine="851"/>
      </w:pPr>
      <w:r w:rsidRPr="00496FD7">
        <w:lastRenderedPageBreak/>
        <w:t>Когато в Решението за определяне на оценителната комисия са включени резервни членове, при нужда могат да заменят титуляр без това да налага промяна в Решението.</w:t>
      </w:r>
    </w:p>
    <w:p w:rsidR="007E360C" w:rsidRPr="00496FD7" w:rsidRDefault="007E360C" w:rsidP="007E360C">
      <w:pPr>
        <w:pStyle w:val="Style3"/>
        <w:rPr>
          <w:lang w:val="bg-BG"/>
        </w:rPr>
      </w:pPr>
      <w:bookmarkStart w:id="104" w:name="_Toc431992180"/>
      <w:bookmarkStart w:id="105" w:name="_Toc432165912"/>
      <w:bookmarkStart w:id="106" w:name="_Toc479775644"/>
      <w:bookmarkEnd w:id="104"/>
      <w:bookmarkEnd w:id="105"/>
      <w:r w:rsidRPr="00496FD7">
        <w:rPr>
          <w:lang w:val="bg-BG"/>
        </w:rPr>
        <w:t>Задължения и отговорности на лицата в оценителна комисия</w:t>
      </w:r>
      <w:bookmarkEnd w:id="106"/>
    </w:p>
    <w:p w:rsidR="007E360C" w:rsidRPr="00496FD7" w:rsidRDefault="007E360C" w:rsidP="00E80472">
      <w:pPr>
        <w:pStyle w:val="ListParagraph"/>
        <w:numPr>
          <w:ilvl w:val="0"/>
          <w:numId w:val="67"/>
        </w:numPr>
        <w:ind w:left="0" w:firstLine="851"/>
        <w:rPr>
          <w:b/>
        </w:rPr>
      </w:pPr>
      <w:bookmarkStart w:id="107" w:name="_Ref395882289"/>
      <w:r w:rsidRPr="00496FD7">
        <w:rPr>
          <w:b/>
        </w:rPr>
        <w:t>Всички лица</w:t>
      </w:r>
      <w:r w:rsidRPr="00496FD7">
        <w:t xml:space="preserve"> (председател, членове, външни експерти, наблюдатели), посочени в Решението за сформиране на оценителната комисия </w:t>
      </w:r>
      <w:r w:rsidRPr="00496FD7">
        <w:rPr>
          <w:b/>
        </w:rPr>
        <w:t>са длъжни:</w:t>
      </w:r>
      <w:bookmarkEnd w:id="107"/>
    </w:p>
    <w:p w:rsidR="007E360C" w:rsidRPr="00496FD7" w:rsidRDefault="007E360C" w:rsidP="00E80472">
      <w:pPr>
        <w:pStyle w:val="ListParagraph"/>
        <w:numPr>
          <w:ilvl w:val="0"/>
          <w:numId w:val="68"/>
        </w:numPr>
        <w:ind w:left="0" w:firstLine="1211"/>
        <w:rPr>
          <w:lang w:eastAsia="bg-BG"/>
        </w:rPr>
      </w:pPr>
      <w:r w:rsidRPr="00496FD7">
        <w:rPr>
          <w:lang w:eastAsia="bg-BG"/>
        </w:rPr>
        <w:t xml:space="preserve">да изпълняват задълженията си добросъвестно, обективно и безпристрастно;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да пазят в тайна обстоятелствата, които са узнали във връзка със своята работа в комисията. </w:t>
      </w:r>
    </w:p>
    <w:p w:rsidR="007E360C" w:rsidRPr="00496FD7" w:rsidRDefault="007E360C" w:rsidP="00E80472">
      <w:pPr>
        <w:pStyle w:val="ListParagraph"/>
        <w:numPr>
          <w:ilvl w:val="0"/>
          <w:numId w:val="67"/>
        </w:numPr>
        <w:ind w:left="0" w:firstLine="851"/>
        <w:rPr>
          <w:b/>
        </w:rPr>
      </w:pPr>
      <w:bookmarkStart w:id="108" w:name="_Ref395515156"/>
      <w:r w:rsidRPr="00496FD7">
        <w:rPr>
          <w:b/>
        </w:rPr>
        <w:t xml:space="preserve">Всички лица </w:t>
      </w:r>
      <w:r w:rsidRPr="00496FD7">
        <w:t>(председател, членове, външни експерти, наблюдатели), посочени в Решението за сформиране на оценителната комисия</w:t>
      </w:r>
      <w:r w:rsidRPr="00496FD7">
        <w:rPr>
          <w:b/>
        </w:rPr>
        <w:t xml:space="preserve"> не могат:</w:t>
      </w:r>
      <w:bookmarkEnd w:id="108"/>
    </w:p>
    <w:p w:rsidR="007E360C" w:rsidRPr="00496FD7" w:rsidRDefault="007E360C" w:rsidP="00E80472">
      <w:pPr>
        <w:pStyle w:val="ListParagraph"/>
        <w:numPr>
          <w:ilvl w:val="0"/>
          <w:numId w:val="68"/>
        </w:numPr>
        <w:ind w:left="0" w:firstLine="1211"/>
        <w:rPr>
          <w:lang w:eastAsia="bg-BG"/>
        </w:rPr>
      </w:pPr>
      <w:r w:rsidRPr="00496FD7">
        <w:rPr>
          <w:lang w:eastAsia="bg-BG"/>
        </w:rPr>
        <w:t xml:space="preserve">да са в конфликт на интереси по смисъла на чл. 61 от Регламент (ЕС, ЕВРАТОМ) № 1046/2018 с някой от конкретните бенефициенти на процедурата за предоставяне на БФП;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да имат интерес по смисъла на Закона за предотвратяване и установяване на конфликт на интереси от отпускането на БФП по конкретната процедура; </w:t>
      </w:r>
    </w:p>
    <w:p w:rsidR="007E360C" w:rsidRPr="00496FD7" w:rsidRDefault="007E360C" w:rsidP="00E30976">
      <w:pPr>
        <w:pStyle w:val="ListParagraph"/>
        <w:numPr>
          <w:ilvl w:val="0"/>
          <w:numId w:val="68"/>
        </w:numPr>
        <w:ind w:left="0" w:firstLine="1211"/>
        <w:rPr>
          <w:lang w:eastAsia="bg-BG"/>
        </w:rPr>
      </w:pPr>
      <w:r w:rsidRPr="00496FD7">
        <w:rPr>
          <w:lang w:eastAsia="bg-BG"/>
        </w:rPr>
        <w:t xml:space="preserve">да са свързани лица по смисъла на </w:t>
      </w:r>
      <w:r w:rsidR="00E30976" w:rsidRPr="00496FD7">
        <w:rPr>
          <w:lang w:eastAsia="bg-BG"/>
        </w:rPr>
        <w:t xml:space="preserve">Закона за противодействие на корупцията и за отнемане на незаконно придобитото имущество </w:t>
      </w:r>
      <w:r w:rsidRPr="00496FD7">
        <w:rPr>
          <w:lang w:eastAsia="bg-BG"/>
        </w:rPr>
        <w:t xml:space="preserve">с кандидат по процедурата;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да са лица, които се намират помежду си в йерархическа зависимост. </w:t>
      </w:r>
    </w:p>
    <w:p w:rsidR="007E360C" w:rsidRPr="00496FD7" w:rsidRDefault="007E360C" w:rsidP="00E80472">
      <w:pPr>
        <w:pStyle w:val="ListParagraph"/>
        <w:numPr>
          <w:ilvl w:val="0"/>
          <w:numId w:val="68"/>
        </w:numPr>
        <w:ind w:left="0" w:firstLine="1211"/>
        <w:rPr>
          <w:lang w:eastAsia="bg-BG"/>
        </w:rPr>
      </w:pPr>
      <w:r w:rsidRPr="00496FD7">
        <w:rPr>
          <w:lang w:eastAsia="bg-BG"/>
        </w:rPr>
        <w:t>да са членове на Комитета за наблюдение на ПТС.</w:t>
      </w:r>
    </w:p>
    <w:p w:rsidR="007E360C" w:rsidRPr="00496FD7" w:rsidRDefault="007E360C" w:rsidP="00E80472">
      <w:pPr>
        <w:pStyle w:val="ListParagraph"/>
        <w:numPr>
          <w:ilvl w:val="0"/>
          <w:numId w:val="67"/>
        </w:numPr>
        <w:ind w:left="0" w:firstLine="851"/>
      </w:pPr>
      <w:r w:rsidRPr="00496FD7">
        <w:rPr>
          <w:b/>
        </w:rPr>
        <w:t xml:space="preserve">Председателят на оценителната комисия </w:t>
      </w:r>
      <w:r w:rsidRPr="00496FD7">
        <w:t xml:space="preserve">трябва да притежава необходимата квалификация и професионална компетентност за следене на законосъобразното протичане на оценителния процес. Задълженията и отговорностите на председателя на оценителната комисия са да: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ръководи организационно и методически работата на комисията; </w:t>
      </w:r>
    </w:p>
    <w:p w:rsidR="007E360C" w:rsidRPr="00496FD7" w:rsidRDefault="007E360C" w:rsidP="00E80472">
      <w:pPr>
        <w:pStyle w:val="ListParagraph"/>
        <w:numPr>
          <w:ilvl w:val="0"/>
          <w:numId w:val="68"/>
        </w:numPr>
        <w:ind w:left="0" w:firstLine="1211"/>
        <w:rPr>
          <w:lang w:eastAsia="bg-BG"/>
        </w:rPr>
      </w:pPr>
      <w:r w:rsidRPr="00496FD7">
        <w:rPr>
          <w:lang w:eastAsia="bg-BG"/>
        </w:rPr>
        <w:t>запознава членовете на оценителната комисия с приложимата процедура за оценка на проектните предложения по ПТС;</w:t>
      </w:r>
    </w:p>
    <w:p w:rsidR="007E360C" w:rsidRPr="00496FD7" w:rsidRDefault="007E360C" w:rsidP="00E80472">
      <w:pPr>
        <w:pStyle w:val="ListParagraph"/>
        <w:numPr>
          <w:ilvl w:val="0"/>
          <w:numId w:val="68"/>
        </w:numPr>
        <w:ind w:left="0" w:firstLine="1211"/>
        <w:rPr>
          <w:lang w:eastAsia="bg-BG"/>
        </w:rPr>
      </w:pPr>
      <w:r w:rsidRPr="00496FD7">
        <w:rPr>
          <w:lang w:eastAsia="bg-BG"/>
        </w:rPr>
        <w:t>запознава членовете на оце</w:t>
      </w:r>
      <w:r w:rsidR="007C4548" w:rsidRPr="00496FD7">
        <w:rPr>
          <w:lang w:eastAsia="bg-BG"/>
        </w:rPr>
        <w:t xml:space="preserve">нителната комисия с Насоките </w:t>
      </w:r>
      <w:r w:rsidRPr="00496FD7">
        <w:rPr>
          <w:lang w:eastAsia="bg-BG"/>
        </w:rPr>
        <w:t xml:space="preserve">и Критериите за подбор и оценка на проекти по </w:t>
      </w:r>
      <w:r w:rsidR="007C4548" w:rsidRPr="00496FD7">
        <w:rPr>
          <w:lang w:eastAsia="bg-BG"/>
        </w:rPr>
        <w:t>процедурата</w:t>
      </w:r>
      <w:r w:rsidRPr="00496FD7">
        <w:rPr>
          <w:lang w:eastAsia="bg-BG"/>
        </w:rPr>
        <w:t>, одобрени от Комитета за наблюдение на ПТС;</w:t>
      </w:r>
    </w:p>
    <w:p w:rsidR="007E360C" w:rsidRPr="00496FD7" w:rsidRDefault="007E360C" w:rsidP="00E80472">
      <w:pPr>
        <w:pStyle w:val="ListParagraph"/>
        <w:numPr>
          <w:ilvl w:val="0"/>
          <w:numId w:val="68"/>
        </w:numPr>
        <w:ind w:left="0" w:firstLine="1211"/>
        <w:rPr>
          <w:lang w:eastAsia="bg-BG"/>
        </w:rPr>
      </w:pPr>
      <w:r w:rsidRPr="00496FD7">
        <w:rPr>
          <w:lang w:eastAsia="bg-BG"/>
        </w:rPr>
        <w:t>координира процеса на оценка в съответствие с разписаните процедури, предвидени в настоящия наръчник и в действащата национална нормативна база (</w:t>
      </w:r>
      <w:r w:rsidR="00436CBC" w:rsidRPr="00496FD7">
        <w:rPr>
          <w:lang w:eastAsia="bg-BG"/>
        </w:rPr>
        <w:t>ЗУСЕФСУ</w:t>
      </w:r>
      <w:r w:rsidRPr="00496FD7">
        <w:rPr>
          <w:lang w:eastAsia="bg-BG"/>
        </w:rPr>
        <w:t xml:space="preserve">);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осигурява безпристрастност и прозрачност на процеса на оценяване на проектните предложения;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свиква при необходимост участниците в комисията на заседания;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води заседанията на комисията;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разглежда проектното предложение и обобщава резултатите от оценка на административното съответствие и допустимостта и техническа и финансова оценка на проектното предложение, извършена от членовете на оценителната комисия в съответствие с Насоките по </w:t>
      </w:r>
      <w:r w:rsidR="007C4548" w:rsidRPr="00496FD7">
        <w:rPr>
          <w:lang w:eastAsia="bg-BG"/>
        </w:rPr>
        <w:t>процедурата</w:t>
      </w:r>
      <w:r w:rsidR="0055339D">
        <w:rPr>
          <w:lang w:eastAsia="bg-BG"/>
        </w:rPr>
        <w:t xml:space="preserve">. </w:t>
      </w:r>
      <w:r w:rsidRPr="00496FD7">
        <w:rPr>
          <w:lang w:eastAsia="bg-BG"/>
        </w:rPr>
        <w:t>При обоснована необходимост председателят на оценителната комисия може да  променя оценката на проектното предложение.</w:t>
      </w:r>
    </w:p>
    <w:p w:rsidR="007E360C" w:rsidRPr="00496FD7" w:rsidRDefault="007E360C" w:rsidP="00E80472">
      <w:pPr>
        <w:pStyle w:val="ListParagraph"/>
        <w:numPr>
          <w:ilvl w:val="0"/>
          <w:numId w:val="68"/>
        </w:numPr>
        <w:ind w:left="0" w:firstLine="1211"/>
        <w:rPr>
          <w:lang w:eastAsia="bg-BG"/>
        </w:rPr>
      </w:pPr>
      <w:r w:rsidRPr="00496FD7">
        <w:rPr>
          <w:lang w:eastAsia="bg-BG"/>
        </w:rPr>
        <w:t>извършва втори контрол при проверката за липса на двойно финансиране и за държавни помощи;</w:t>
      </w:r>
    </w:p>
    <w:p w:rsidR="007E360C" w:rsidRPr="00496FD7" w:rsidRDefault="007E360C" w:rsidP="00E80472">
      <w:pPr>
        <w:pStyle w:val="ListParagraph"/>
        <w:numPr>
          <w:ilvl w:val="0"/>
          <w:numId w:val="68"/>
        </w:numPr>
        <w:ind w:left="0" w:firstLine="1211"/>
        <w:rPr>
          <w:lang w:eastAsia="bg-BG"/>
        </w:rPr>
      </w:pPr>
      <w:r w:rsidRPr="00496FD7">
        <w:rPr>
          <w:lang w:eastAsia="bg-BG"/>
        </w:rPr>
        <w:t>След приключване на оценката от оценителите, председателят отразява резултатите от оценката и в ИСУН 2020;</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Съгласува изходящата от комисията кореспонденция; </w:t>
      </w:r>
    </w:p>
    <w:p w:rsidR="007E360C" w:rsidRPr="00496FD7" w:rsidRDefault="007E360C" w:rsidP="00E80472">
      <w:pPr>
        <w:pStyle w:val="ListParagraph"/>
        <w:numPr>
          <w:ilvl w:val="0"/>
          <w:numId w:val="68"/>
        </w:numPr>
        <w:ind w:left="0" w:firstLine="1211"/>
        <w:rPr>
          <w:lang w:eastAsia="bg-BG"/>
        </w:rPr>
      </w:pPr>
      <w:r w:rsidRPr="00496FD7">
        <w:rPr>
          <w:lang w:eastAsia="bg-BG"/>
        </w:rPr>
        <w:t>координира процеса на изготвяне на оценителния доклад и го подписва;</w:t>
      </w:r>
    </w:p>
    <w:p w:rsidR="007E360C" w:rsidRPr="00496FD7" w:rsidRDefault="007E360C" w:rsidP="00E80472">
      <w:pPr>
        <w:pStyle w:val="ListParagraph"/>
        <w:numPr>
          <w:ilvl w:val="0"/>
          <w:numId w:val="68"/>
        </w:numPr>
        <w:ind w:left="0" w:firstLine="1211"/>
        <w:rPr>
          <w:lang w:eastAsia="bg-BG"/>
        </w:rPr>
      </w:pPr>
      <w:r w:rsidRPr="00496FD7">
        <w:rPr>
          <w:lang w:eastAsia="bg-BG"/>
        </w:rPr>
        <w:lastRenderedPageBreak/>
        <w:t>подписва декларация за поверителност и липса на конфликт на интереси.</w:t>
      </w:r>
    </w:p>
    <w:p w:rsidR="007E360C" w:rsidRPr="00496FD7" w:rsidRDefault="007E360C" w:rsidP="00E80472">
      <w:pPr>
        <w:pStyle w:val="ListParagraph"/>
        <w:numPr>
          <w:ilvl w:val="0"/>
          <w:numId w:val="67"/>
        </w:numPr>
        <w:ind w:left="0" w:firstLine="851"/>
        <w:rPr>
          <w:b/>
        </w:rPr>
      </w:pPr>
      <w:r w:rsidRPr="00496FD7">
        <w:rPr>
          <w:b/>
        </w:rPr>
        <w:t xml:space="preserve">Членовете на оценителната комисия </w:t>
      </w:r>
      <w:r w:rsidRPr="00496FD7">
        <w:t>и резервните членове трябва да притежават необходимата квалификация и професионална компетентност, за да разгледат и оценят проектните предложения и да предоставят обосновано становище във връзка с проектите и оценката им. Членовете на оценителната комисия:</w:t>
      </w:r>
      <w:r w:rsidRPr="00496FD7">
        <w:rPr>
          <w:b/>
        </w:rPr>
        <w:t xml:space="preserve">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подпомагат председателя в дейността му;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изпълняват всички административни дейности, свързани с оценителния процес;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осигуряват техническата обезпеченост на дейността на комисията;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разглеждат определеното проектно предложение и правят оценка за административното съответствие и допустимостта и техническа и финансова оценка, в съответствие с </w:t>
      </w:r>
      <w:r w:rsidR="007C4548" w:rsidRPr="00496FD7">
        <w:rPr>
          <w:lang w:eastAsia="bg-BG"/>
        </w:rPr>
        <w:t>Насоките по процедурата</w:t>
      </w:r>
      <w:r w:rsidRPr="00496FD7">
        <w:rPr>
          <w:lang w:eastAsia="bg-BG"/>
        </w:rPr>
        <w:t xml:space="preserve">; </w:t>
      </w:r>
    </w:p>
    <w:p w:rsidR="007E360C" w:rsidRPr="00496FD7" w:rsidRDefault="007E360C" w:rsidP="00E80472">
      <w:pPr>
        <w:pStyle w:val="ListParagraph"/>
        <w:numPr>
          <w:ilvl w:val="0"/>
          <w:numId w:val="68"/>
        </w:numPr>
        <w:ind w:left="0" w:firstLine="1211"/>
        <w:rPr>
          <w:lang w:eastAsia="bg-BG"/>
        </w:rPr>
      </w:pPr>
      <w:r w:rsidRPr="00496FD7">
        <w:rPr>
          <w:lang w:eastAsia="bg-BG"/>
        </w:rPr>
        <w:t>оценяват проектното предложение, като спазва</w:t>
      </w:r>
      <w:r w:rsidR="0055339D">
        <w:rPr>
          <w:lang w:eastAsia="bg-BG"/>
        </w:rPr>
        <w:t>т</w:t>
      </w:r>
      <w:r w:rsidRPr="00496FD7">
        <w:rPr>
          <w:lang w:eastAsia="bg-BG"/>
        </w:rPr>
        <w:t xml:space="preserve"> Критериите за подбор и оценка на проекти по ПТС, одобрени от Комитета за наблюдение на ПТС </w:t>
      </w:r>
    </w:p>
    <w:p w:rsidR="007E360C" w:rsidRPr="00496FD7" w:rsidRDefault="007E360C" w:rsidP="00E80472">
      <w:pPr>
        <w:pStyle w:val="ListParagraph"/>
        <w:numPr>
          <w:ilvl w:val="0"/>
          <w:numId w:val="68"/>
        </w:numPr>
        <w:ind w:left="0" w:firstLine="1211"/>
        <w:rPr>
          <w:lang w:eastAsia="bg-BG"/>
        </w:rPr>
      </w:pPr>
      <w:r w:rsidRPr="00496FD7">
        <w:rPr>
          <w:lang w:eastAsia="bg-BG"/>
        </w:rPr>
        <w:t>изготвят оценителни таблици в ИСУН 2020 и извършват проверката за липса на двойно финансиране и за държавни помощи;</w:t>
      </w:r>
    </w:p>
    <w:p w:rsidR="007E360C" w:rsidRPr="00496FD7" w:rsidRDefault="007E360C" w:rsidP="00E80472">
      <w:pPr>
        <w:pStyle w:val="ListParagraph"/>
        <w:numPr>
          <w:ilvl w:val="0"/>
          <w:numId w:val="68"/>
        </w:numPr>
        <w:ind w:left="0" w:firstLine="1211"/>
        <w:rPr>
          <w:lang w:eastAsia="bg-BG"/>
        </w:rPr>
      </w:pPr>
      <w:r w:rsidRPr="00496FD7">
        <w:rPr>
          <w:lang w:eastAsia="bg-BG"/>
        </w:rPr>
        <w:t>изготвят и подписват оценителния доклад;</w:t>
      </w:r>
    </w:p>
    <w:p w:rsidR="007E360C" w:rsidRPr="00496FD7" w:rsidRDefault="007E360C" w:rsidP="00E80472">
      <w:pPr>
        <w:pStyle w:val="ListParagraph"/>
        <w:numPr>
          <w:ilvl w:val="0"/>
          <w:numId w:val="68"/>
        </w:numPr>
        <w:ind w:left="0" w:firstLine="1211"/>
        <w:rPr>
          <w:lang w:eastAsia="bg-BG"/>
        </w:rPr>
      </w:pPr>
      <w:r w:rsidRPr="00496FD7">
        <w:rPr>
          <w:lang w:eastAsia="bg-BG"/>
        </w:rPr>
        <w:t>подписват декларация за поверителност и липса на конфликт на интереси.</w:t>
      </w:r>
    </w:p>
    <w:p w:rsidR="007E360C" w:rsidRPr="00496FD7" w:rsidRDefault="007E360C" w:rsidP="00E80472">
      <w:pPr>
        <w:pStyle w:val="ListParagraph"/>
        <w:numPr>
          <w:ilvl w:val="0"/>
          <w:numId w:val="67"/>
        </w:numPr>
        <w:ind w:left="0" w:firstLine="851"/>
        <w:rPr>
          <w:b/>
        </w:rPr>
      </w:pPr>
      <w:r w:rsidRPr="00496FD7">
        <w:rPr>
          <w:b/>
        </w:rPr>
        <w:t xml:space="preserve">Наблюдателите на комисията </w:t>
      </w:r>
      <w:r w:rsidRPr="00496FD7">
        <w:t xml:space="preserve">са независими и безпристрастни в своята дейност и трябва да притежават необходимата квалификация и професионална компетентност за следене на законосъобразното протичане на оценителния процес. Наблюдателите не са членове на оценителната комисия и дейността им включва проследяване на провеждането на процедурата на директно предоставяне във връзка със спазване на разпоредбите на ПМС № </w:t>
      </w:r>
      <w:r w:rsidR="00287647" w:rsidRPr="00496FD7">
        <w:t>23/2023</w:t>
      </w:r>
      <w:r w:rsidRPr="00496FD7">
        <w:t xml:space="preserve"> г. Наблюдателите освен, ако друго не е указано в решението </w:t>
      </w:r>
      <w:r w:rsidR="00287647" w:rsidRPr="00496FD7">
        <w:t>за сформиране на оценителна комисия</w:t>
      </w:r>
      <w:r w:rsidRPr="00496FD7">
        <w:rPr>
          <w:b/>
        </w:rPr>
        <w:t xml:space="preserve">: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присъстват на заседанията на комисията;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не участват в обсъжданията и не влияят по какъвто и да е начин на оценителния процес; </w:t>
      </w:r>
    </w:p>
    <w:p w:rsidR="007E360C" w:rsidRPr="00496FD7" w:rsidRDefault="007E360C" w:rsidP="00E80472">
      <w:pPr>
        <w:pStyle w:val="ListParagraph"/>
        <w:numPr>
          <w:ilvl w:val="0"/>
          <w:numId w:val="68"/>
        </w:numPr>
        <w:ind w:left="0" w:firstLine="1211"/>
        <w:rPr>
          <w:lang w:eastAsia="bg-BG"/>
        </w:rPr>
      </w:pPr>
      <w:r w:rsidRPr="00496FD7">
        <w:rPr>
          <w:lang w:eastAsia="bg-BG"/>
        </w:rPr>
        <w:t>писмено уведомяват Ръководителя на УО на ПТС, когато установят, че са допуснати нарушения на процедурата на директно предоставяне</w:t>
      </w:r>
      <w:r w:rsidR="0055339D">
        <w:rPr>
          <w:lang w:eastAsia="bg-BG"/>
        </w:rPr>
        <w:t>/подбор</w:t>
      </w:r>
      <w:r w:rsidRPr="00496FD7">
        <w:rPr>
          <w:lang w:eastAsia="bg-BG"/>
        </w:rPr>
        <w:t xml:space="preserve">;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изготвят независим доклад за своята дейност в комисията като го предоставят на Ръководителя на УО на ПТС след приключването на оценителния процес; </w:t>
      </w:r>
    </w:p>
    <w:p w:rsidR="007E360C" w:rsidRPr="00496FD7" w:rsidRDefault="007E360C" w:rsidP="00E80472">
      <w:pPr>
        <w:pStyle w:val="ListParagraph"/>
        <w:numPr>
          <w:ilvl w:val="0"/>
          <w:numId w:val="67"/>
        </w:numPr>
        <w:ind w:left="0" w:firstLine="851"/>
        <w:rPr>
          <w:b/>
        </w:rPr>
      </w:pPr>
      <w:r w:rsidRPr="00496FD7">
        <w:t xml:space="preserve">извършват и други дейности, ако такива изрично са предвидени в решението </w:t>
      </w:r>
      <w:r w:rsidR="00287647" w:rsidRPr="00496FD7">
        <w:t>за сформиране на оценителна комисия</w:t>
      </w:r>
      <w:r w:rsidRPr="00496FD7">
        <w:rPr>
          <w:b/>
        </w:rPr>
        <w:t xml:space="preserve">: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Наблюдателят </w:t>
      </w:r>
      <w:r w:rsidRPr="00496FD7">
        <w:rPr>
          <w:u w:val="single"/>
          <w:lang w:eastAsia="bg-BG"/>
        </w:rPr>
        <w:t>подписва</w:t>
      </w:r>
      <w:r w:rsidRPr="00496FD7">
        <w:rPr>
          <w:lang w:eastAsia="bg-BG"/>
        </w:rPr>
        <w:t xml:space="preserve"> декларация за поверителност и липса на конфликт на интереси и </w:t>
      </w:r>
      <w:r w:rsidRPr="00496FD7">
        <w:rPr>
          <w:u w:val="single"/>
          <w:lang w:eastAsia="bg-BG"/>
        </w:rPr>
        <w:t>не подписва</w:t>
      </w:r>
      <w:r w:rsidRPr="00496FD7">
        <w:rPr>
          <w:lang w:eastAsia="bg-BG"/>
        </w:rPr>
        <w:t xml:space="preserve"> оценителния доклад от работата на комисията.</w:t>
      </w:r>
    </w:p>
    <w:p w:rsidR="007E360C" w:rsidRPr="00496FD7" w:rsidRDefault="007E360C" w:rsidP="00E80472">
      <w:pPr>
        <w:pStyle w:val="ListParagraph"/>
        <w:numPr>
          <w:ilvl w:val="0"/>
          <w:numId w:val="67"/>
        </w:numPr>
        <w:ind w:left="0" w:firstLine="851"/>
      </w:pPr>
      <w:r w:rsidRPr="00496FD7">
        <w:rPr>
          <w:b/>
        </w:rPr>
        <w:t>Външните експерти</w:t>
      </w:r>
      <w:r w:rsidRPr="00496FD7">
        <w:t xml:space="preserve"> подпомагат УО на ПТС при извършване на оценката на подадено проектно предложение. Консултантският екип/ Външните експерти се избират при спазване на принципите на публичност и прозрачност, свободна и лоялна конкуренция и равнопоставеност и недопускане на дискриминация и при спазване на Закона за обществените поръчки.</w:t>
      </w:r>
    </w:p>
    <w:p w:rsidR="007E360C" w:rsidRPr="00496FD7" w:rsidRDefault="007E360C" w:rsidP="007E360C">
      <w:pPr>
        <w:rPr>
          <w:lang w:eastAsia="bg-BG"/>
        </w:rPr>
      </w:pPr>
      <w:r w:rsidRPr="00496FD7">
        <w:rPr>
          <w:lang w:eastAsia="bg-BG"/>
        </w:rPr>
        <w:t>Основно задълженията на външните експерти обхващат изпълнение на следните дейности:</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Извършване на техническа и финансова оценка на подадени в УО на ПТС формуляри за кандидатстване за финансиране на </w:t>
      </w:r>
      <w:r w:rsidR="00BE6599" w:rsidRPr="00496FD7">
        <w:rPr>
          <w:lang w:eastAsia="bg-BG"/>
        </w:rPr>
        <w:t>инвестиционни</w:t>
      </w:r>
      <w:r w:rsidR="00316461" w:rsidRPr="00496FD7">
        <w:rPr>
          <w:lang w:eastAsia="bg-BG"/>
        </w:rPr>
        <w:t xml:space="preserve"> </w:t>
      </w:r>
      <w:r w:rsidRPr="00496FD7">
        <w:rPr>
          <w:lang w:eastAsia="bg-BG"/>
        </w:rPr>
        <w:t>проекти;</w:t>
      </w:r>
    </w:p>
    <w:p w:rsidR="007E360C" w:rsidRPr="00496FD7" w:rsidRDefault="007E360C" w:rsidP="00E80472">
      <w:pPr>
        <w:pStyle w:val="ListParagraph"/>
        <w:numPr>
          <w:ilvl w:val="0"/>
          <w:numId w:val="68"/>
        </w:numPr>
        <w:ind w:left="0" w:firstLine="1211"/>
        <w:rPr>
          <w:lang w:eastAsia="bg-BG"/>
        </w:rPr>
      </w:pPr>
      <w:r w:rsidRPr="00496FD7">
        <w:rPr>
          <w:lang w:eastAsia="bg-BG"/>
        </w:rPr>
        <w:t>Извършване на техническа и финансова оценка на подадени в УО на ПТС формуляри за кандидатстване за финансиране на подготовката на инвестиционни проекти;</w:t>
      </w:r>
    </w:p>
    <w:p w:rsidR="007E360C" w:rsidRPr="00496FD7" w:rsidRDefault="007E360C" w:rsidP="00E80472">
      <w:pPr>
        <w:pStyle w:val="ListParagraph"/>
        <w:numPr>
          <w:ilvl w:val="0"/>
          <w:numId w:val="68"/>
        </w:numPr>
        <w:ind w:left="0" w:firstLine="1211"/>
        <w:rPr>
          <w:lang w:eastAsia="bg-BG"/>
        </w:rPr>
      </w:pPr>
      <w:r w:rsidRPr="00496FD7">
        <w:rPr>
          <w:lang w:eastAsia="bg-BG"/>
        </w:rPr>
        <w:lastRenderedPageBreak/>
        <w:t>Извършване техническа и финансова оценка на подадени в УО на ПТС формуляри за кандидатстване за финансиране на проекти за техническа помощ;</w:t>
      </w:r>
    </w:p>
    <w:p w:rsidR="007E360C" w:rsidRPr="00496FD7" w:rsidRDefault="007E360C" w:rsidP="007E360C">
      <w:pPr>
        <w:rPr>
          <w:szCs w:val="24"/>
          <w:lang w:eastAsia="bg-BG"/>
        </w:rPr>
      </w:pPr>
    </w:p>
    <w:p w:rsidR="007E360C" w:rsidRPr="00496FD7" w:rsidRDefault="007E360C" w:rsidP="007E360C">
      <w:pPr>
        <w:rPr>
          <w:lang w:eastAsia="bg-BG"/>
        </w:rPr>
      </w:pPr>
      <w:r w:rsidRPr="00496FD7">
        <w:rPr>
          <w:lang w:eastAsia="bg-BG"/>
        </w:rPr>
        <w:t>Задълженията на външните експерти са съгласно изискванията в сключения договор с консултанта, който трябва да осигури експерти, отговарящи на изискванията. Консултанта следва да изпълни услугите, в съответствие с разпоредбите на правото на Европейския съюз и националното законодателство, както и да спазва писмените правила и процедури на Управляващия орган на ПТС.</w:t>
      </w:r>
    </w:p>
    <w:p w:rsidR="007E360C" w:rsidRPr="00496FD7" w:rsidRDefault="007E360C" w:rsidP="007E360C">
      <w:pPr>
        <w:pStyle w:val="Style3"/>
        <w:rPr>
          <w:lang w:val="bg-BG"/>
        </w:rPr>
      </w:pPr>
      <w:bookmarkStart w:id="109" w:name="_Ref406320259"/>
      <w:bookmarkStart w:id="110" w:name="_Toc479775645"/>
      <w:bookmarkStart w:id="111" w:name="_Ref395532260"/>
      <w:r w:rsidRPr="00496FD7">
        <w:rPr>
          <w:lang w:val="bg-BG"/>
        </w:rPr>
        <w:t>Проверка за липса на конфликт на интереси</w:t>
      </w:r>
      <w:bookmarkEnd w:id="109"/>
      <w:bookmarkEnd w:id="110"/>
    </w:p>
    <w:p w:rsidR="007E360C" w:rsidRPr="00496FD7" w:rsidRDefault="007E360C" w:rsidP="007E360C">
      <w:r w:rsidRPr="00496FD7">
        <w:t>При предоставянето на БФП и при нейното разходване не се допуска конфликт на интереси по смисъла на чл. 61 от Регламент (ЕС, ЕВРАТОМ) 1046/2018.</w:t>
      </w:r>
    </w:p>
    <w:p w:rsidR="007E360C" w:rsidRPr="00496FD7" w:rsidRDefault="007E360C" w:rsidP="00E80472">
      <w:pPr>
        <w:pStyle w:val="ListParagraph"/>
        <w:numPr>
          <w:ilvl w:val="0"/>
          <w:numId w:val="61"/>
        </w:numPr>
        <w:ind w:left="0" w:firstLine="851"/>
      </w:pPr>
      <w:bookmarkStart w:id="112" w:name="_Ref406320240"/>
      <w:r w:rsidRPr="00496FD7">
        <w:t>Всички лица (председател, членове, външни експерти, контролиращи, наблюдатели), посочени в Решението за сформиране на оценителната комисия, включително началника на отдел Програмиране“</w:t>
      </w:r>
      <w:r w:rsidRPr="00496FD7">
        <w:rPr>
          <w:rStyle w:val="FootnoteReference"/>
        </w:rPr>
        <w:footnoteReference w:id="2"/>
      </w:r>
      <w:r w:rsidRPr="00496FD7">
        <w:t>, директора на дирекция „Координация на програми и проекти“</w:t>
      </w:r>
      <w:r w:rsidRPr="00496FD7">
        <w:rPr>
          <w:vertAlign w:val="superscript"/>
        </w:rPr>
        <w:t>45</w:t>
      </w:r>
      <w:r w:rsidRPr="00496FD7">
        <w:t xml:space="preserve">  и Ръководителя на УО на ПТС), трябва да подпишат декларации за липса на конфликт на интереси и поверителност (</w:t>
      </w:r>
      <w:hyperlink r:id="rId33" w:tooltip="Декларация за липса на конфликт на интереси и поверителност" w:history="1">
        <w:r w:rsidRPr="001776B1">
          <w:rPr>
            <w:rStyle w:val="Hyperlink"/>
            <w:i/>
          </w:rPr>
          <w:t>Приложение № 3.0</w:t>
        </w:r>
        <w:r w:rsidR="001776B1" w:rsidRPr="001776B1">
          <w:rPr>
            <w:rStyle w:val="Hyperlink"/>
            <w:i/>
          </w:rPr>
          <w:t>2</w:t>
        </w:r>
      </w:hyperlink>
      <w:r w:rsidRPr="00496FD7">
        <w:rPr>
          <w:b/>
        </w:rPr>
        <w:t>),</w:t>
      </w:r>
      <w:r w:rsidRPr="00496FD7">
        <w:t xml:space="preserve"> по смисъла на чл. 61 от Регламент (ЕС, ЕВРАТОМ) № 1046/2018, за спазване на изискването да пазят в тайна обстоятелствата, които са узнали във връзка със своята работа в комисията, незабавно след като научат имената на конкретните бенефициенти в процедурата.</w:t>
      </w:r>
      <w:bookmarkEnd w:id="112"/>
    </w:p>
    <w:p w:rsidR="007E360C" w:rsidRPr="00496FD7" w:rsidRDefault="007E360C" w:rsidP="00E80472">
      <w:pPr>
        <w:pStyle w:val="ListParagraph"/>
        <w:numPr>
          <w:ilvl w:val="0"/>
          <w:numId w:val="61"/>
        </w:numPr>
        <w:ind w:left="0" w:firstLine="851"/>
      </w:pPr>
      <w:r w:rsidRPr="00496FD7">
        <w:t>В подписваната декларация (</w:t>
      </w:r>
      <w:hyperlink r:id="rId34" w:tooltip="Декларация за липса на конфликт на интереси и поверителност" w:history="1">
        <w:r w:rsidRPr="00496FD7">
          <w:rPr>
            <w:rStyle w:val="Hyperlink"/>
            <w:i/>
          </w:rPr>
          <w:t>Приложение № 3.0</w:t>
        </w:r>
      </w:hyperlink>
      <w:r w:rsidR="001776B1">
        <w:rPr>
          <w:rStyle w:val="Hyperlink"/>
          <w:i/>
        </w:rPr>
        <w:t>2</w:t>
      </w:r>
      <w:r w:rsidRPr="00496FD7">
        <w:t>) лицето потвърждава, че е запознато с процедурата за провеждане на оценка на проектното предложение, че ще изпълнява задълженията си добросъвестно, обективно и безпристрастно и ще пази в тайна обстоятелствата, които е узнало във връзка със своята работа в комисията;</w:t>
      </w:r>
    </w:p>
    <w:p w:rsidR="007E360C" w:rsidRPr="00496FD7" w:rsidRDefault="007E360C" w:rsidP="00E80472">
      <w:pPr>
        <w:pStyle w:val="ListParagraph"/>
        <w:numPr>
          <w:ilvl w:val="0"/>
          <w:numId w:val="61"/>
        </w:numPr>
        <w:ind w:left="0" w:firstLine="851"/>
      </w:pPr>
      <w:bookmarkStart w:id="113" w:name="_Ref395515301"/>
      <w:r w:rsidRPr="00496FD7">
        <w:t>Служител от УО на ПТС, определен от Ръководителя на УО на ПТС, извършва проверка за липса на конфликт на интереси, по смисъла на чл. 61 от Регламент (ЕС, ЕВРАТОМ) № 1046/2018 в електронната база данни на правно-информационна система (търговския регистър, Апис, Сиела, ДАКСИ или др.) на всички лица  от оценителната комисия (председател и членове и/или на наблюдател и/или външни експерти) в срок до 4 работни дни от сформиране на оценителната комисия.</w:t>
      </w:r>
    </w:p>
    <w:p w:rsidR="007E360C" w:rsidRPr="00496FD7" w:rsidRDefault="007E360C" w:rsidP="00E80472">
      <w:pPr>
        <w:pStyle w:val="ListParagraph"/>
        <w:numPr>
          <w:ilvl w:val="0"/>
          <w:numId w:val="61"/>
        </w:numPr>
        <w:ind w:left="0" w:firstLine="851"/>
      </w:pPr>
      <w:r w:rsidRPr="00496FD7">
        <w:t xml:space="preserve">Подписаният, от всеки участник в оценителния процес, оригинал на декларацията за поверителност и липса на конфликт на интереси се предоставя на председателя на оценителната комисия за съхранение в досието на оценката. </w:t>
      </w:r>
    </w:p>
    <w:p w:rsidR="007E360C" w:rsidRPr="00496FD7" w:rsidRDefault="007E360C" w:rsidP="00E80472">
      <w:pPr>
        <w:pStyle w:val="ListParagraph"/>
        <w:numPr>
          <w:ilvl w:val="0"/>
          <w:numId w:val="61"/>
        </w:numPr>
        <w:ind w:left="0" w:firstLine="851"/>
      </w:pPr>
      <w:r w:rsidRPr="00496FD7">
        <w:t>Резултатите от извършената проверка се записват в контролен лист (</w:t>
      </w:r>
      <w:hyperlink r:id="rId35" w:history="1">
        <w:r w:rsidR="001776B1" w:rsidRPr="001776B1">
          <w:rPr>
            <w:rStyle w:val="Hyperlink"/>
            <w:i/>
          </w:rPr>
          <w:t>Приложение № 3.03.1</w:t>
        </w:r>
      </w:hyperlink>
      <w:r w:rsidRPr="00496FD7">
        <w:t xml:space="preserve">) за всеки член на оценителната комисия, който се изготвя в ИСУН 2020 от служителя по </w:t>
      </w:r>
      <w:r w:rsidRPr="00496FD7">
        <w:rPr>
          <w:b/>
        </w:rPr>
        <w:t xml:space="preserve">точка </w:t>
      </w:r>
      <w:r w:rsidRPr="00496FD7">
        <w:rPr>
          <w:b/>
        </w:rPr>
        <w:fldChar w:fldCharType="begin"/>
      </w:r>
      <w:r w:rsidRPr="00496FD7">
        <w:rPr>
          <w:b/>
        </w:rPr>
        <w:instrText xml:space="preserve"> REF _Ref395515301 \r \h  \* MERGEFORMAT </w:instrText>
      </w:r>
      <w:r w:rsidRPr="00496FD7">
        <w:rPr>
          <w:b/>
        </w:rPr>
      </w:r>
      <w:r w:rsidRPr="00496FD7">
        <w:rPr>
          <w:b/>
        </w:rPr>
        <w:fldChar w:fldCharType="separate"/>
      </w:r>
      <w:r w:rsidRPr="00496FD7">
        <w:rPr>
          <w:b/>
        </w:rPr>
        <w:t>3)</w:t>
      </w:r>
      <w:r w:rsidRPr="00496FD7">
        <w:rPr>
          <w:b/>
        </w:rPr>
        <w:fldChar w:fldCharType="end"/>
      </w:r>
      <w:r w:rsidRPr="00496FD7">
        <w:t xml:space="preserve"> и след което началника на отдел „Програмиране“ в дирекция КПП,  извършва втори контрол в ИСУН 2020 в срок до 5 работни дни от изготвянето  и приключването на контролния лист от служителя по  </w:t>
      </w:r>
      <w:r w:rsidRPr="00496FD7">
        <w:rPr>
          <w:b/>
        </w:rPr>
        <w:t xml:space="preserve">точка 3 ). </w:t>
      </w:r>
    </w:p>
    <w:bookmarkEnd w:id="113"/>
    <w:p w:rsidR="007E360C" w:rsidRPr="00496FD7" w:rsidRDefault="007E360C" w:rsidP="00E80472">
      <w:pPr>
        <w:pStyle w:val="ListParagraph"/>
        <w:numPr>
          <w:ilvl w:val="0"/>
          <w:numId w:val="61"/>
        </w:numPr>
        <w:ind w:left="0" w:firstLine="851"/>
      </w:pPr>
      <w:r w:rsidRPr="00496FD7">
        <w:t xml:space="preserve">При откриване на несъответствие в резултата на проверката по </w:t>
      </w:r>
      <w:r w:rsidRPr="00496FD7">
        <w:rPr>
          <w:b/>
        </w:rPr>
        <w:t>точка 5)</w:t>
      </w:r>
      <w:r w:rsidRPr="00496FD7">
        <w:t xml:space="preserve"> се информира за това директора на дирекция КПП, който докладва на Ръководителя на УО на ПТС. На база на откритите несъответствия се променя съставът на оценителната комисия и мястото на напусналия се заема от нов член.</w:t>
      </w:r>
    </w:p>
    <w:p w:rsidR="007E360C" w:rsidRPr="00496FD7" w:rsidRDefault="007E360C" w:rsidP="00E80472">
      <w:pPr>
        <w:pStyle w:val="ListParagraph"/>
        <w:numPr>
          <w:ilvl w:val="0"/>
          <w:numId w:val="61"/>
        </w:numPr>
        <w:ind w:left="0" w:firstLine="851"/>
      </w:pPr>
      <w:r w:rsidRPr="00496FD7">
        <w:lastRenderedPageBreak/>
        <w:t xml:space="preserve">При възникване на някое от обстоятелствата по </w:t>
      </w:r>
      <w:r w:rsidR="0055339D" w:rsidRPr="00496FD7">
        <w:t>чл. 61 от Регламент (ЕС, ЕВРАТОМ) № 1046/2018</w:t>
      </w:r>
      <w:r w:rsidRPr="00496FD7">
        <w:t xml:space="preserve">, в хода на оценителния процес съответното лице, участващо в оценителния процес незабавно информира писмено за това ръководителя на УО на ПТС и се отстранява от оценителния процес.  </w:t>
      </w:r>
    </w:p>
    <w:p w:rsidR="007E360C" w:rsidRPr="00496FD7" w:rsidRDefault="007E360C" w:rsidP="00E80472">
      <w:pPr>
        <w:pStyle w:val="ListParagraph"/>
        <w:numPr>
          <w:ilvl w:val="0"/>
          <w:numId w:val="61"/>
        </w:numPr>
        <w:ind w:left="0" w:firstLine="851"/>
      </w:pPr>
      <w:r w:rsidRPr="00496FD7">
        <w:t xml:space="preserve">В случаите на свързаност или йерархична зависимост от участие в оценителния процес се отстраняват толкова лица, колкото е необходимо, за да се изпълнят </w:t>
      </w:r>
      <w:r w:rsidR="001776B1">
        <w:t>съответните изисквания по чл. 17</w:t>
      </w:r>
      <w:r w:rsidR="00F84E74">
        <w:t>, ал. 3</w:t>
      </w:r>
      <w:r w:rsidRPr="00496FD7">
        <w:t xml:space="preserve"> от ПМС № </w:t>
      </w:r>
      <w:r w:rsidR="00F84E74">
        <w:t>23</w:t>
      </w:r>
      <w:r w:rsidRPr="00496FD7">
        <w:t xml:space="preserve"> от 20</w:t>
      </w:r>
      <w:r w:rsidR="00F84E74">
        <w:t>23</w:t>
      </w:r>
      <w:r w:rsidRPr="00496FD7">
        <w:t xml:space="preserve"> г.</w:t>
      </w:r>
    </w:p>
    <w:p w:rsidR="007E360C" w:rsidRPr="00496FD7" w:rsidRDefault="007E360C" w:rsidP="00E80472">
      <w:pPr>
        <w:pStyle w:val="ListParagraph"/>
        <w:numPr>
          <w:ilvl w:val="0"/>
          <w:numId w:val="61"/>
        </w:numPr>
        <w:ind w:left="0" w:firstLine="851"/>
      </w:pPr>
      <w:bookmarkStart w:id="114" w:name="_Ref395882643"/>
      <w:r w:rsidRPr="00496FD7">
        <w:t xml:space="preserve">При възникване на някое от обстоятелствата по </w:t>
      </w:r>
      <w:r w:rsidR="0055339D" w:rsidRPr="00496FD7">
        <w:t>чл. 61 от Регламент (ЕС, ЕВРАТОМ) № 1046/2018</w:t>
      </w:r>
      <w:r w:rsidRPr="00496FD7">
        <w:t>, или при настъпване на други обективни причини, поради които член на комисията не може да изпълнява задълженията си, той се замества от резервен член. Когато заместването с резервен член не е възможно, се изменя Решението за сформиране на оценителна комисия.</w:t>
      </w:r>
      <w:bookmarkEnd w:id="114"/>
    </w:p>
    <w:p w:rsidR="007E360C" w:rsidRPr="00496FD7" w:rsidRDefault="007E360C" w:rsidP="00E80472">
      <w:pPr>
        <w:pStyle w:val="ListParagraph"/>
        <w:numPr>
          <w:ilvl w:val="0"/>
          <w:numId w:val="61"/>
        </w:numPr>
        <w:ind w:left="0" w:firstLine="851"/>
      </w:pPr>
      <w:bookmarkStart w:id="115" w:name="_Ref395515240"/>
      <w:r w:rsidRPr="00496FD7">
        <w:t xml:space="preserve">При възникване на някое от обстоятелствата по </w:t>
      </w:r>
      <w:r w:rsidR="0055339D" w:rsidRPr="00496FD7">
        <w:t>чл. 61 от Регламент (ЕС, ЕВРАТОМ) № 1046/2018</w:t>
      </w:r>
      <w:r w:rsidRPr="00496FD7">
        <w:t xml:space="preserve">, или при настъпване на други обективни причини, поради които председателят, не може да изпълнява задълженията си, той се заменя с друго лице, което притежава необходимата квалификация и професионална компетентност за изпълнение на задачите и отговаря на изискванията по точка </w:t>
      </w:r>
      <w:r w:rsidRPr="00496FD7">
        <w:fldChar w:fldCharType="begin"/>
      </w:r>
      <w:r w:rsidRPr="00496FD7">
        <w:instrText xml:space="preserve"> REF _Ref395515301 \r \h  \* MERGEFORMAT </w:instrText>
      </w:r>
      <w:r w:rsidRPr="00496FD7">
        <w:fldChar w:fldCharType="separate"/>
      </w:r>
      <w:r w:rsidRPr="00496FD7">
        <w:t>3)</w:t>
      </w:r>
      <w:r w:rsidRPr="00496FD7">
        <w:fldChar w:fldCharType="end"/>
      </w:r>
      <w:r w:rsidRPr="00496FD7">
        <w:t>., като за това се изменя Решението за сформиране на оценителна комисия.</w:t>
      </w:r>
      <w:bookmarkEnd w:id="115"/>
    </w:p>
    <w:p w:rsidR="007E360C" w:rsidRPr="00496FD7" w:rsidRDefault="007E360C" w:rsidP="00E80472">
      <w:pPr>
        <w:pStyle w:val="ListParagraph"/>
        <w:numPr>
          <w:ilvl w:val="0"/>
          <w:numId w:val="61"/>
        </w:numPr>
        <w:ind w:left="0" w:firstLine="851"/>
      </w:pPr>
      <w:bookmarkStart w:id="116" w:name="_Ref400615418"/>
      <w:r w:rsidRPr="00496FD7">
        <w:t xml:space="preserve">В случаите по </w:t>
      </w:r>
      <w:r w:rsidRPr="00496FD7">
        <w:rPr>
          <w:b/>
        </w:rPr>
        <w:t xml:space="preserve">точка </w:t>
      </w:r>
      <w:r w:rsidRPr="00496FD7">
        <w:rPr>
          <w:b/>
        </w:rPr>
        <w:fldChar w:fldCharType="begin"/>
      </w:r>
      <w:r w:rsidRPr="00496FD7">
        <w:rPr>
          <w:b/>
        </w:rPr>
        <w:instrText xml:space="preserve"> REF _Ref395882643 \r \h  \* MERGEFORMAT </w:instrText>
      </w:r>
      <w:r w:rsidRPr="00496FD7">
        <w:rPr>
          <w:b/>
        </w:rPr>
      </w:r>
      <w:r w:rsidRPr="00496FD7">
        <w:rPr>
          <w:b/>
        </w:rPr>
        <w:fldChar w:fldCharType="separate"/>
      </w:r>
      <w:r w:rsidRPr="00496FD7">
        <w:rPr>
          <w:b/>
        </w:rPr>
        <w:t>9)</w:t>
      </w:r>
      <w:r w:rsidRPr="00496FD7">
        <w:rPr>
          <w:b/>
        </w:rPr>
        <w:fldChar w:fldCharType="end"/>
      </w:r>
      <w:r w:rsidRPr="00496FD7">
        <w:rPr>
          <w:b/>
        </w:rPr>
        <w:t xml:space="preserve"> и точка </w:t>
      </w:r>
      <w:r w:rsidRPr="00496FD7">
        <w:rPr>
          <w:b/>
        </w:rPr>
        <w:fldChar w:fldCharType="begin"/>
      </w:r>
      <w:r w:rsidRPr="00496FD7">
        <w:rPr>
          <w:b/>
        </w:rPr>
        <w:instrText xml:space="preserve"> REF _Ref395515240 \r \h  \* MERGEFORMAT </w:instrText>
      </w:r>
      <w:r w:rsidRPr="00496FD7">
        <w:rPr>
          <w:b/>
        </w:rPr>
      </w:r>
      <w:r w:rsidRPr="00496FD7">
        <w:rPr>
          <w:b/>
        </w:rPr>
        <w:fldChar w:fldCharType="separate"/>
      </w:r>
      <w:r w:rsidRPr="00496FD7">
        <w:rPr>
          <w:b/>
        </w:rPr>
        <w:t>10)</w:t>
      </w:r>
      <w:r w:rsidRPr="00496FD7">
        <w:rPr>
          <w:b/>
        </w:rPr>
        <w:fldChar w:fldCharType="end"/>
      </w:r>
      <w:r w:rsidRPr="00496FD7">
        <w:t xml:space="preserve"> новоопределените лица подписват декларация за спазване на изискването да пазят в тайна обстоятелствата, които са узнали във връзка със своята работа в комисията и за съответствие с обстоятелствата по точка </w:t>
      </w:r>
      <w:r w:rsidRPr="00496FD7">
        <w:fldChar w:fldCharType="begin"/>
      </w:r>
      <w:r w:rsidRPr="00496FD7">
        <w:instrText xml:space="preserve"> REF _Ref395515156 \r \h  \* MERGEFORMAT </w:instrText>
      </w:r>
      <w:r w:rsidRPr="00496FD7">
        <w:fldChar w:fldCharType="separate"/>
      </w:r>
      <w:r w:rsidRPr="00496FD7">
        <w:t>2)</w:t>
      </w:r>
      <w:r w:rsidRPr="00496FD7">
        <w:fldChar w:fldCharType="end"/>
      </w:r>
      <w:r w:rsidRPr="00496FD7">
        <w:t>. Мотивите за промяната на членовете на оценителната комисия се отразяват в оценителния доклад.</w:t>
      </w:r>
      <w:bookmarkEnd w:id="116"/>
    </w:p>
    <w:p w:rsidR="007E360C" w:rsidRPr="00496FD7" w:rsidRDefault="007E360C" w:rsidP="00E80472">
      <w:pPr>
        <w:pStyle w:val="ListParagraph"/>
        <w:numPr>
          <w:ilvl w:val="0"/>
          <w:numId w:val="61"/>
        </w:numPr>
        <w:ind w:left="0" w:firstLine="851"/>
      </w:pPr>
      <w:r w:rsidRPr="00496FD7">
        <w:t xml:space="preserve">Декларацията за поверителност и липса на конфликт на интереси се подписват от новоопределените лица в деня на определянето им за членове на оценителната комисия по </w:t>
      </w:r>
      <w:r w:rsidRPr="00496FD7">
        <w:rPr>
          <w:b/>
        </w:rPr>
        <w:t xml:space="preserve">точка </w:t>
      </w:r>
      <w:r w:rsidRPr="00496FD7">
        <w:rPr>
          <w:b/>
        </w:rPr>
        <w:fldChar w:fldCharType="begin"/>
      </w:r>
      <w:r w:rsidRPr="00496FD7">
        <w:rPr>
          <w:b/>
        </w:rPr>
        <w:instrText xml:space="preserve"> REF _Ref400615418 \r \h  \* MERGEFORMAT </w:instrText>
      </w:r>
      <w:r w:rsidRPr="00496FD7">
        <w:rPr>
          <w:b/>
        </w:rPr>
      </w:r>
      <w:r w:rsidRPr="00496FD7">
        <w:rPr>
          <w:b/>
        </w:rPr>
        <w:fldChar w:fldCharType="separate"/>
      </w:r>
      <w:r w:rsidRPr="00496FD7">
        <w:rPr>
          <w:b/>
        </w:rPr>
        <w:t>11)</w:t>
      </w:r>
      <w:r w:rsidRPr="00496FD7">
        <w:rPr>
          <w:b/>
        </w:rPr>
        <w:fldChar w:fldCharType="end"/>
      </w:r>
      <w:r w:rsidRPr="00496FD7">
        <w:t xml:space="preserve"> и оригиналът се предоставя на служителя по </w:t>
      </w:r>
      <w:r w:rsidRPr="00496FD7">
        <w:rPr>
          <w:b/>
        </w:rPr>
        <w:t xml:space="preserve">точка </w:t>
      </w:r>
      <w:r w:rsidRPr="00496FD7">
        <w:rPr>
          <w:b/>
        </w:rPr>
        <w:fldChar w:fldCharType="begin"/>
      </w:r>
      <w:r w:rsidRPr="00496FD7">
        <w:rPr>
          <w:b/>
        </w:rPr>
        <w:instrText xml:space="preserve"> REF _Ref395515301 \r \h  \* MERGEFORMAT </w:instrText>
      </w:r>
      <w:r w:rsidRPr="00496FD7">
        <w:rPr>
          <w:b/>
        </w:rPr>
      </w:r>
      <w:r w:rsidRPr="00496FD7">
        <w:rPr>
          <w:b/>
        </w:rPr>
        <w:fldChar w:fldCharType="separate"/>
      </w:r>
      <w:r w:rsidRPr="00496FD7">
        <w:rPr>
          <w:b/>
        </w:rPr>
        <w:t>3)</w:t>
      </w:r>
      <w:r w:rsidRPr="00496FD7">
        <w:rPr>
          <w:b/>
        </w:rPr>
        <w:fldChar w:fldCharType="end"/>
      </w:r>
      <w:r w:rsidRPr="00496FD7">
        <w:t xml:space="preserve"> за извършване на проверка за липса на конфликт на интереси по </w:t>
      </w:r>
      <w:r w:rsidR="006D21E2" w:rsidRPr="00496FD7">
        <w:t>чл. 61 от Регламент (ЕС, ЕВРАТОМ) № 1046/2018</w:t>
      </w:r>
      <w:r w:rsidRPr="00496FD7">
        <w:t>.</w:t>
      </w:r>
    </w:p>
    <w:p w:rsidR="007E360C" w:rsidRPr="00496FD7" w:rsidRDefault="007E360C" w:rsidP="00E80472">
      <w:pPr>
        <w:pStyle w:val="ListParagraph"/>
        <w:numPr>
          <w:ilvl w:val="0"/>
          <w:numId w:val="61"/>
        </w:numPr>
        <w:ind w:left="0" w:firstLine="851"/>
      </w:pPr>
      <w:r w:rsidRPr="00496FD7">
        <w:t xml:space="preserve">Преди да започне работата по оценката на проектното предложение се провежда подготвително заседание на оценителната комисия, на което председателят запознава членовете на комисията с процедурата за провеждане на оценка. </w:t>
      </w:r>
    </w:p>
    <w:p w:rsidR="007E360C" w:rsidRPr="00496FD7" w:rsidRDefault="007E360C" w:rsidP="007E360C">
      <w:pPr>
        <w:rPr>
          <w:lang w:eastAsia="bg-BG"/>
        </w:rPr>
      </w:pPr>
      <w:r w:rsidRPr="00496FD7">
        <w:rPr>
          <w:i/>
          <w:lang w:eastAsia="bg-BG"/>
        </w:rPr>
        <w:t xml:space="preserve">Срок за изпълнение: </w:t>
      </w:r>
      <w:r w:rsidRPr="00496FD7">
        <w:rPr>
          <w:lang w:eastAsia="bg-BG"/>
        </w:rPr>
        <w:t>До 4 работни дни от регистриране на Решението за сформиране на оценителна комисия или в случай на новоопределени лица по</w:t>
      </w:r>
      <w:r w:rsidRPr="00496FD7">
        <w:rPr>
          <w:b/>
          <w:lang w:eastAsia="bg-BG"/>
        </w:rPr>
        <w:t xml:space="preserve"> точка</w:t>
      </w:r>
      <w:r w:rsidRPr="00496FD7">
        <w:rPr>
          <w:lang w:eastAsia="bg-BG"/>
        </w:rPr>
        <w:t xml:space="preserve">  </w:t>
      </w:r>
      <w:r w:rsidRPr="00496FD7">
        <w:fldChar w:fldCharType="begin"/>
      </w:r>
      <w:r w:rsidRPr="00496FD7">
        <w:instrText xml:space="preserve"> REF _Ref400615418 \r \h  \* MERGEFORMAT </w:instrText>
      </w:r>
      <w:r w:rsidRPr="00496FD7">
        <w:fldChar w:fldCharType="separate"/>
      </w:r>
      <w:r w:rsidRPr="00496FD7">
        <w:rPr>
          <w:b/>
          <w:lang w:eastAsia="bg-BG"/>
        </w:rPr>
        <w:t>11)</w:t>
      </w:r>
      <w:r w:rsidRPr="00496FD7">
        <w:fldChar w:fldCharType="end"/>
      </w:r>
      <w:r w:rsidRPr="00496FD7">
        <w:rPr>
          <w:lang w:eastAsia="bg-BG"/>
        </w:rPr>
        <w:t xml:space="preserve"> до края на деня, следващ деня на определянето им за членове на оценителната комисия.</w:t>
      </w:r>
    </w:p>
    <w:p w:rsidR="007E360C" w:rsidRPr="00496FD7" w:rsidRDefault="007E360C" w:rsidP="007E360C">
      <w:pPr>
        <w:tabs>
          <w:tab w:val="num" w:pos="851"/>
        </w:tabs>
        <w:spacing w:before="120" w:after="120"/>
        <w:rPr>
          <w:szCs w:val="24"/>
          <w:lang w:eastAsia="bg-BG"/>
        </w:rPr>
      </w:pPr>
    </w:p>
    <w:p w:rsidR="007E360C" w:rsidRPr="00496FD7" w:rsidRDefault="007E360C" w:rsidP="007E360C">
      <w:pPr>
        <w:pStyle w:val="Style2"/>
        <w:rPr>
          <w:lang w:val="bg-BG" w:eastAsia="bg-BG"/>
        </w:rPr>
      </w:pPr>
      <w:bookmarkStart w:id="117" w:name="_Toc479775646"/>
      <w:bookmarkStart w:id="118" w:name="_Toc140150215"/>
      <w:bookmarkStart w:id="119" w:name="_Toc152769895"/>
      <w:r w:rsidRPr="00496FD7">
        <w:rPr>
          <w:lang w:val="bg-BG" w:eastAsia="bg-BG"/>
        </w:rPr>
        <w:t>Видове процедури при оценка на проектни предложения</w:t>
      </w:r>
      <w:bookmarkEnd w:id="117"/>
      <w:bookmarkEnd w:id="118"/>
      <w:bookmarkEnd w:id="119"/>
    </w:p>
    <w:p w:rsidR="007E360C" w:rsidRPr="00496FD7" w:rsidRDefault="007E360C" w:rsidP="007E360C">
      <w:pPr>
        <w:rPr>
          <w:lang w:eastAsia="bg-BG"/>
        </w:rPr>
      </w:pPr>
      <w:r w:rsidRPr="00496FD7">
        <w:rPr>
          <w:lang w:eastAsia="bg-BG"/>
        </w:rPr>
        <w:t xml:space="preserve">Предвидените процедури по ПТС за оценка на проектни предложения в съответствие с типа на проекта са следните: </w:t>
      </w:r>
    </w:p>
    <w:p w:rsidR="007E360C" w:rsidRPr="00496FD7" w:rsidRDefault="007E360C" w:rsidP="00E80472">
      <w:pPr>
        <w:pStyle w:val="ListParagraph"/>
        <w:numPr>
          <w:ilvl w:val="0"/>
          <w:numId w:val="59"/>
        </w:numPr>
        <w:ind w:left="0" w:firstLine="851"/>
        <w:rPr>
          <w:lang w:eastAsia="bg-BG"/>
        </w:rPr>
      </w:pPr>
      <w:r w:rsidRPr="00496FD7">
        <w:rPr>
          <w:lang w:eastAsia="bg-BG"/>
        </w:rPr>
        <w:t>Процедури за оценка на инвестиционни проекти</w:t>
      </w:r>
    </w:p>
    <w:p w:rsidR="007E360C" w:rsidRPr="00496FD7" w:rsidRDefault="007E360C" w:rsidP="00E80472">
      <w:pPr>
        <w:pStyle w:val="ListParagraph"/>
        <w:numPr>
          <w:ilvl w:val="0"/>
          <w:numId w:val="59"/>
        </w:numPr>
        <w:ind w:left="0" w:firstLine="851"/>
        <w:rPr>
          <w:lang w:eastAsia="bg-BG"/>
        </w:rPr>
      </w:pPr>
      <w:r w:rsidRPr="00496FD7">
        <w:rPr>
          <w:lang w:eastAsia="bg-BG"/>
        </w:rPr>
        <w:t xml:space="preserve">Процедура за оценка на проектни предложения за техническа помощ, </w:t>
      </w:r>
      <w:r w:rsidR="00BE6599" w:rsidRPr="00496FD7">
        <w:rPr>
          <w:lang w:val="en-US" w:eastAsia="bg-BG"/>
        </w:rPr>
        <w:t>(</w:t>
      </w:r>
      <w:r w:rsidRPr="00496FD7">
        <w:rPr>
          <w:lang w:eastAsia="bg-BG"/>
        </w:rPr>
        <w:t>включително техническа помощ за подготовка на инвестици</w:t>
      </w:r>
      <w:r w:rsidR="00BE6599" w:rsidRPr="00496FD7">
        <w:rPr>
          <w:lang w:eastAsia="bg-BG"/>
        </w:rPr>
        <w:t>онни проекти</w:t>
      </w:r>
      <w:r w:rsidR="00BE6599" w:rsidRPr="00496FD7">
        <w:rPr>
          <w:lang w:val="en-US" w:eastAsia="bg-BG"/>
        </w:rPr>
        <w:t>)</w:t>
      </w:r>
      <w:r w:rsidRPr="00496FD7">
        <w:rPr>
          <w:lang w:eastAsia="bg-BG"/>
        </w:rPr>
        <w:t>;</w:t>
      </w:r>
    </w:p>
    <w:p w:rsidR="007E360C" w:rsidRPr="00496FD7" w:rsidRDefault="007E360C" w:rsidP="00E80472">
      <w:pPr>
        <w:pStyle w:val="ListParagraph"/>
        <w:numPr>
          <w:ilvl w:val="0"/>
          <w:numId w:val="59"/>
        </w:numPr>
        <w:ind w:left="0" w:firstLine="851"/>
        <w:rPr>
          <w:lang w:eastAsia="bg-BG"/>
        </w:rPr>
      </w:pPr>
      <w:r w:rsidRPr="00496FD7">
        <w:rPr>
          <w:lang w:eastAsia="bg-BG"/>
        </w:rPr>
        <w:t>Процедура за оценка на бюджетна линия;</w:t>
      </w:r>
    </w:p>
    <w:p w:rsidR="007E360C" w:rsidRPr="00496FD7" w:rsidRDefault="007E360C" w:rsidP="007E360C">
      <w:pPr>
        <w:tabs>
          <w:tab w:val="left" w:pos="851"/>
        </w:tabs>
        <w:spacing w:after="120"/>
        <w:rPr>
          <w:szCs w:val="24"/>
        </w:rPr>
      </w:pPr>
    </w:p>
    <w:p w:rsidR="007E360C" w:rsidRPr="00496FD7" w:rsidRDefault="007E360C" w:rsidP="007E360C">
      <w:pPr>
        <w:jc w:val="left"/>
        <w:rPr>
          <w:szCs w:val="24"/>
        </w:rPr>
      </w:pPr>
      <w:r w:rsidRPr="00496FD7">
        <w:rPr>
          <w:szCs w:val="24"/>
        </w:rPr>
        <w:br w:type="page"/>
      </w:r>
    </w:p>
    <w:p w:rsidR="007E360C" w:rsidRPr="00496FD7" w:rsidRDefault="007E360C" w:rsidP="007E360C">
      <w:pPr>
        <w:tabs>
          <w:tab w:val="left" w:pos="851"/>
        </w:tabs>
        <w:spacing w:after="120"/>
        <w:rPr>
          <w:szCs w:val="24"/>
        </w:rPr>
      </w:pPr>
    </w:p>
    <w:p w:rsidR="007E360C" w:rsidRPr="00496FD7" w:rsidRDefault="007E360C" w:rsidP="007E360C">
      <w:pPr>
        <w:pStyle w:val="Style2"/>
        <w:rPr>
          <w:lang w:val="bg-BG"/>
        </w:rPr>
      </w:pPr>
      <w:bookmarkStart w:id="120" w:name="_Toc479775647"/>
      <w:bookmarkStart w:id="121" w:name="_Toc140150216"/>
      <w:bookmarkStart w:id="122" w:name="_Toc152769896"/>
      <w:r w:rsidRPr="00496FD7">
        <w:rPr>
          <w:lang w:val="bg-BG"/>
        </w:rPr>
        <w:t>Обобщена процедура за оценка на проектни предложения</w:t>
      </w:r>
      <w:bookmarkEnd w:id="120"/>
      <w:bookmarkEnd w:id="121"/>
      <w:bookmarkEnd w:id="122"/>
    </w:p>
    <w:p w:rsidR="007E360C" w:rsidRPr="00496FD7" w:rsidRDefault="007E360C" w:rsidP="007E360C">
      <w:pPr>
        <w:spacing w:after="120"/>
        <w:rPr>
          <w:b/>
          <w:szCs w:val="24"/>
        </w:rPr>
      </w:pPr>
      <w:r w:rsidRPr="00496FD7">
        <w:rPr>
          <w:b/>
          <w:szCs w:val="24"/>
        </w:rPr>
        <w:t>Обобщена схема на видовете процедури</w:t>
      </w:r>
    </w:p>
    <w:p w:rsidR="007E360C" w:rsidRPr="00496FD7" w:rsidRDefault="007E360C" w:rsidP="007E360C">
      <w:pPr>
        <w:spacing w:after="120"/>
        <w:ind w:firstLine="0"/>
        <w:jc w:val="center"/>
        <w:rPr>
          <w:szCs w:val="24"/>
        </w:rPr>
      </w:pPr>
      <w:r w:rsidRPr="00496FD7">
        <w:rPr>
          <w:noProof/>
          <w:lang w:val="en-US" w:eastAsia="en-US"/>
        </w:rPr>
        <mc:AlternateContent>
          <mc:Choice Requires="wpg">
            <w:drawing>
              <wp:inline distT="0" distB="0" distL="0" distR="0" wp14:anchorId="1E3B4CDC" wp14:editId="64004A78">
                <wp:extent cx="6060440" cy="4422775"/>
                <wp:effectExtent l="76200" t="0" r="73660" b="92075"/>
                <wp:docPr id="642" name="Group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60440" cy="4422775"/>
                          <a:chOff x="0" y="0"/>
                          <a:chExt cx="6060558" cy="4423144"/>
                        </a:xfrm>
                      </wpg:grpSpPr>
                      <wps:wsp>
                        <wps:cNvPr id="643" name="Freeform 112"/>
                        <wps:cNvSpPr/>
                        <wps:spPr>
                          <a:xfrm>
                            <a:off x="266705" y="574158"/>
                            <a:ext cx="4284030" cy="3848986"/>
                          </a:xfrm>
                          <a:custGeom>
                            <a:avLst/>
                            <a:gdLst>
                              <a:gd name="connsiteX0" fmla="*/ 0 w 3051544"/>
                              <a:gd name="connsiteY0" fmla="*/ 0 h 3349256"/>
                              <a:gd name="connsiteX1" fmla="*/ 2987749 w 3051544"/>
                              <a:gd name="connsiteY1" fmla="*/ 10633 h 3349256"/>
                              <a:gd name="connsiteX2" fmla="*/ 3051544 w 3051544"/>
                              <a:gd name="connsiteY2" fmla="*/ 3349256 h 3349256"/>
                              <a:gd name="connsiteX3" fmla="*/ 10632 w 3051544"/>
                              <a:gd name="connsiteY3" fmla="*/ 3338623 h 3349256"/>
                              <a:gd name="connsiteX4" fmla="*/ 0 w 3051544"/>
                              <a:gd name="connsiteY4" fmla="*/ 0 h 334925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051544" h="3349256">
                                <a:moveTo>
                                  <a:pt x="0" y="0"/>
                                </a:moveTo>
                                <a:lnTo>
                                  <a:pt x="2987749" y="10633"/>
                                </a:lnTo>
                                <a:lnTo>
                                  <a:pt x="3051544" y="3349256"/>
                                </a:lnTo>
                                <a:lnTo>
                                  <a:pt x="10632" y="3338623"/>
                                </a:lnTo>
                                <a:lnTo>
                                  <a:pt x="0" y="0"/>
                                </a:lnTo>
                                <a:close/>
                              </a:path>
                            </a:pathLst>
                          </a:cu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4" name="Rectangle 108"/>
                        <wps:cNvSpPr/>
                        <wps:spPr>
                          <a:xfrm>
                            <a:off x="0" y="797442"/>
                            <a:ext cx="6060558" cy="2987749"/>
                          </a:xfrm>
                          <a:prstGeom prst="rect">
                            <a:avLst/>
                          </a:prstGeom>
                          <a:solidFill>
                            <a:srgbClr val="4F81BD"/>
                          </a:solidFill>
                          <a:ln w="38100" cap="flat" cmpd="sng" algn="ctr">
                            <a:solidFill>
                              <a:sysClr val="window" lastClr="FFFFFF"/>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5" name="Rounded Rectangle 99"/>
                        <wps:cNvSpPr/>
                        <wps:spPr>
                          <a:xfrm>
                            <a:off x="223284" y="0"/>
                            <a:ext cx="5666740" cy="467360"/>
                          </a:xfrm>
                          <a:prstGeom prst="roundRect">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B80E14" w:rsidRDefault="00CD7E74" w:rsidP="007E360C">
                              <w:pPr>
                                <w:spacing w:after="200" w:line="276" w:lineRule="auto"/>
                                <w:ind w:firstLine="0"/>
                                <w:jc w:val="center"/>
                                <w:rPr>
                                  <w:sz w:val="20"/>
                                </w:rPr>
                              </w:pPr>
                              <w:r w:rsidRPr="00B80E14">
                                <w:rPr>
                                  <w:bCs/>
                                  <w:sz w:val="20"/>
                                </w:rPr>
                                <w:t>Видове процедури за оценка на проектни предложения</w:t>
                              </w:r>
                            </w:p>
                            <w:p w:rsidR="00CD7E74" w:rsidRPr="00B80E14" w:rsidRDefault="00CD7E74" w:rsidP="007E360C">
                              <w:pPr>
                                <w:ind w:firstLine="0"/>
                                <w:jc w:val="center"/>
                                <w:rPr>
                                  <w:sz w:val="20"/>
                                </w:rPr>
                              </w:pPr>
                            </w:p>
                          </w:txbxContent>
                        </wps:txbx>
                        <wps:bodyPr rot="0" spcFirstLastPara="0" vertOverflow="overflow" horzOverflow="overflow" vert="horz" wrap="square" lIns="91440" tIns="45720" rIns="91440" bIns="45720" numCol="1" spcCol="0" rtlCol="0" fromWordArt="0" anchor="ctr" anchorCtr="0" forceAA="0" upright="1" compatLnSpc="1">
                          <a:prstTxWarp prst="textNoShape">
                            <a:avLst/>
                          </a:prstTxWarp>
                          <a:noAutofit/>
                        </wps:bodyPr>
                      </wps:wsp>
                      <wps:wsp>
                        <wps:cNvPr id="646" name="Rounded Rectangle 100"/>
                        <wps:cNvSpPr/>
                        <wps:spPr>
                          <a:xfrm>
                            <a:off x="223285" y="871869"/>
                            <a:ext cx="1472199" cy="2271643"/>
                          </a:xfrm>
                          <a:prstGeom prst="roundRect">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B80E14" w:rsidRDefault="00CD7E74" w:rsidP="007E360C">
                              <w:pPr>
                                <w:spacing w:after="200" w:line="276" w:lineRule="auto"/>
                                <w:ind w:firstLine="0"/>
                                <w:jc w:val="center"/>
                                <w:rPr>
                                  <w:bCs/>
                                  <w:sz w:val="20"/>
                                </w:rPr>
                              </w:pPr>
                              <w:r>
                                <w:rPr>
                                  <w:bCs/>
                                  <w:sz w:val="20"/>
                                </w:rPr>
                                <w:t>Оценка на инвестиционен</w:t>
                              </w:r>
                              <w:r w:rsidRPr="00B80E14">
                                <w:rPr>
                                  <w:bCs/>
                                  <w:sz w:val="20"/>
                                </w:rPr>
                                <w:t xml:space="preserve"> проект</w:t>
                              </w:r>
                            </w:p>
                            <w:p w:rsidR="00CD7E74" w:rsidRPr="00B80E14" w:rsidRDefault="00CD7E74" w:rsidP="007E360C">
                              <w:pPr>
                                <w:ind w:firstLine="0"/>
                                <w:jc w:val="center"/>
                                <w:rPr>
                                  <w:sz w:val="20"/>
                                </w:rPr>
                              </w:pPr>
                            </w:p>
                          </w:txbxContent>
                        </wps:txbx>
                        <wps:bodyPr rot="0" spcFirstLastPara="0" vertOverflow="overflow" horzOverflow="overflow" vert="horz" wrap="square" lIns="91440" tIns="45720" rIns="91440" bIns="45720" numCol="1" spcCol="0" rtlCol="0" fromWordArt="0" anchor="ctr" anchorCtr="0" forceAA="0" upright="1" compatLnSpc="1">
                          <a:prstTxWarp prst="textNoShape">
                            <a:avLst/>
                          </a:prstTxWarp>
                          <a:noAutofit/>
                        </wps:bodyPr>
                      </wps:wsp>
                      <wps:wsp>
                        <wps:cNvPr id="647" name="Rounded Rectangle 101"/>
                        <wps:cNvSpPr/>
                        <wps:spPr>
                          <a:xfrm>
                            <a:off x="2407820" y="986179"/>
                            <a:ext cx="1487805" cy="2136775"/>
                          </a:xfrm>
                          <a:prstGeom prst="roundRect">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B80E14" w:rsidRDefault="00CD7E74" w:rsidP="007E360C">
                              <w:pPr>
                                <w:spacing w:after="200" w:line="276" w:lineRule="auto"/>
                                <w:ind w:firstLine="0"/>
                                <w:jc w:val="center"/>
                                <w:rPr>
                                  <w:bCs/>
                                  <w:sz w:val="20"/>
                                </w:rPr>
                              </w:pPr>
                              <w:r w:rsidRPr="00B80E14">
                                <w:rPr>
                                  <w:bCs/>
                                  <w:sz w:val="20"/>
                                </w:rPr>
                                <w:t>Оценка на проекти за техническа помощ (вкл. техническа помощ за подготовка на инвестиционен проект</w:t>
                              </w:r>
                              <w:r w:rsidR="006D21E2">
                                <w:rPr>
                                  <w:bCs/>
                                  <w:sz w:val="20"/>
                                </w:rPr>
                                <w:t>)</w:t>
                              </w:r>
                            </w:p>
                            <w:p w:rsidR="00CD7E74" w:rsidRPr="00B80E14" w:rsidRDefault="00CD7E74" w:rsidP="007E360C">
                              <w:pPr>
                                <w:ind w:firstLine="0"/>
                                <w:jc w:val="center"/>
                                <w:rPr>
                                  <w:sz w:val="20"/>
                                </w:rPr>
                              </w:pPr>
                            </w:p>
                          </w:txbxContent>
                        </wps:txbx>
                        <wps:bodyPr rot="0" spcFirstLastPara="0" vertOverflow="overflow" horzOverflow="overflow" vert="horz" wrap="square" lIns="91440" tIns="45720" rIns="91440" bIns="45720" numCol="1" spcCol="0" rtlCol="0" fromWordArt="0" anchor="ctr" anchorCtr="0" forceAA="0" upright="1" compatLnSpc="1">
                          <a:prstTxWarp prst="textNoShape">
                            <a:avLst/>
                          </a:prstTxWarp>
                          <a:noAutofit/>
                        </wps:bodyPr>
                      </wps:wsp>
                      <wps:wsp>
                        <wps:cNvPr id="648" name="Rounded Rectangle 102"/>
                        <wps:cNvSpPr/>
                        <wps:spPr>
                          <a:xfrm>
                            <a:off x="4614530" y="871870"/>
                            <a:ext cx="1371600" cy="2136775"/>
                          </a:xfrm>
                          <a:prstGeom prst="roundRect">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B80E14" w:rsidRDefault="00CD7E74" w:rsidP="007E360C">
                              <w:pPr>
                                <w:ind w:firstLine="0"/>
                                <w:jc w:val="center"/>
                                <w:rPr>
                                  <w:sz w:val="20"/>
                                </w:rPr>
                              </w:pPr>
                              <w:r w:rsidRPr="00B80E14">
                                <w:rPr>
                                  <w:bCs/>
                                  <w:sz w:val="20"/>
                                </w:rPr>
                                <w:t>Оценка на бюджетна линия</w:t>
                              </w:r>
                            </w:p>
                          </w:txbxContent>
                        </wps:txbx>
                        <wps:bodyPr rot="0" spcFirstLastPara="0" vertOverflow="overflow" horzOverflow="overflow" vert="horz" wrap="square" lIns="91440" tIns="45720" rIns="91440" bIns="45720" numCol="1" spcCol="0" rtlCol="0" fromWordArt="0" anchor="ctr" anchorCtr="0" forceAA="0" upright="1" compatLnSpc="1">
                          <a:prstTxWarp prst="textNoShape">
                            <a:avLst/>
                          </a:prstTxWarp>
                          <a:noAutofit/>
                        </wps:bodyPr>
                      </wps:wsp>
                      <wps:wsp>
                        <wps:cNvPr id="651" name="Rounded Rectangle 107"/>
                        <wps:cNvSpPr/>
                        <wps:spPr>
                          <a:xfrm>
                            <a:off x="476259" y="3880884"/>
                            <a:ext cx="3988205" cy="467360"/>
                          </a:xfrm>
                          <a:prstGeom prst="roundRect">
                            <a:avLst/>
                          </a:prstGeom>
                          <a:gradFill rotWithShape="1">
                            <a:gsLst>
                              <a:gs pos="0">
                                <a:srgbClr val="8064A2">
                                  <a:shade val="51000"/>
                                  <a:satMod val="130000"/>
                                </a:srgbClr>
                              </a:gs>
                              <a:gs pos="80000">
                                <a:srgbClr val="8064A2">
                                  <a:shade val="93000"/>
                                  <a:satMod val="130000"/>
                                </a:srgbClr>
                              </a:gs>
                              <a:gs pos="100000">
                                <a:srgbClr val="8064A2">
                                  <a:shade val="94000"/>
                                  <a:satMod val="135000"/>
                                </a:srgbClr>
                              </a:gs>
                            </a:gsLst>
                            <a:lin ang="16200000" scaled="0"/>
                          </a:gradFill>
                          <a:ln w="9525" cap="flat" cmpd="sng" algn="ctr">
                            <a:solidFill>
                              <a:srgbClr val="8064A2">
                                <a:shade val="95000"/>
                                <a:satMod val="105000"/>
                              </a:srgbClr>
                            </a:solidFill>
                            <a:prstDash val="solid"/>
                            <a:headEnd/>
                            <a:tailEnd/>
                          </a:ln>
                          <a:effectLst>
                            <a:outerShdw blurRad="40000" dist="23000" dir="5400000" rotWithShape="0">
                              <a:srgbClr val="000000">
                                <a:alpha val="35000"/>
                              </a:srgbClr>
                            </a:outerShdw>
                          </a:effectLst>
                        </wps:spPr>
                        <wps:txbx>
                          <w:txbxContent>
                            <w:p w:rsidR="00CD7E74" w:rsidRPr="00B80E14" w:rsidRDefault="00CD7E74" w:rsidP="007E360C">
                              <w:pPr>
                                <w:spacing w:after="200" w:line="276" w:lineRule="auto"/>
                                <w:ind w:firstLine="0"/>
                                <w:jc w:val="center"/>
                                <w:rPr>
                                  <w:sz w:val="20"/>
                                </w:rPr>
                              </w:pPr>
                              <w:r w:rsidRPr="00B80E14">
                                <w:rPr>
                                  <w:bCs/>
                                  <w:sz w:val="20"/>
                                </w:rPr>
                                <w:t>Техническа и финансова оценка</w:t>
                              </w:r>
                            </w:p>
                            <w:p w:rsidR="00CD7E74" w:rsidRPr="00B80E14" w:rsidRDefault="00CD7E74" w:rsidP="007E360C">
                              <w:pPr>
                                <w:ind w:firstLine="0"/>
                                <w:jc w:val="center"/>
                                <w:rPr>
                                  <w:sz w:val="20"/>
                                </w:rPr>
                              </w:pPr>
                            </w:p>
                          </w:txbxContent>
                        </wps:txbx>
                        <wps:bodyPr rot="0" spcFirstLastPara="0" vertOverflow="overflow" horzOverflow="overflow" vert="horz" wrap="square" lIns="91440" tIns="45720" rIns="91440" bIns="45720" numCol="1" spcCol="0" rtlCol="0" fromWordArt="0" anchor="ctr" anchorCtr="0" forceAA="0" upright="1" compatLnSpc="1">
                          <a:prstTxWarp prst="textNoShape">
                            <a:avLst/>
                          </a:prstTxWarp>
                          <a:noAutofit/>
                        </wps:bodyPr>
                      </wps:wsp>
                      <wps:wsp>
                        <wps:cNvPr id="652" name="Text Box 109"/>
                        <wps:cNvSpPr txBox="1"/>
                        <wps:spPr>
                          <a:xfrm>
                            <a:off x="350874" y="3327991"/>
                            <a:ext cx="5369236" cy="308344"/>
                          </a:xfrm>
                          <a:prstGeom prst="rect">
                            <a:avLst/>
                          </a:prstGeom>
                          <a:gradFill rotWithShape="1">
                            <a:gsLst>
                              <a:gs pos="0">
                                <a:srgbClr val="4F81BD">
                                  <a:shade val="51000"/>
                                  <a:satMod val="130000"/>
                                </a:srgbClr>
                              </a:gs>
                              <a:gs pos="80000">
                                <a:srgbClr val="4F81BD">
                                  <a:shade val="93000"/>
                                  <a:satMod val="130000"/>
                                </a:srgbClr>
                              </a:gs>
                              <a:gs pos="100000">
                                <a:srgbClr val="4F81BD">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CD7E74" w:rsidRPr="00B80E14" w:rsidRDefault="00CD7E74" w:rsidP="007E360C">
                              <w:pPr>
                                <w:spacing w:after="200" w:line="276" w:lineRule="auto"/>
                                <w:ind w:firstLine="0"/>
                                <w:jc w:val="center"/>
                                <w:rPr>
                                  <w:sz w:val="20"/>
                                </w:rPr>
                              </w:pPr>
                              <w:r w:rsidRPr="00B80E14">
                                <w:rPr>
                                  <w:bCs/>
                                  <w:sz w:val="20"/>
                                </w:rPr>
                                <w:t>Административна проверка и проверка на допустимост</w:t>
                              </w:r>
                            </w:p>
                            <w:p w:rsidR="00CD7E74" w:rsidRPr="00B80E14" w:rsidRDefault="00CD7E74" w:rsidP="007E360C">
                              <w:pPr>
                                <w:ind w:firstLine="0"/>
                                <w:jc w:val="center"/>
                                <w:rPr>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1E3B4CDC" id="Group 113" o:spid="_x0000_s1093" style="width:477.2pt;height:348.25pt;mso-position-horizontal-relative:char;mso-position-vertical-relative:line" coordsize="60605,442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">
                <v:shape id="Freeform 112" o:spid="_x0000_s1094" style="position:absolute;left:2667;top:5741;width:42840;height:38490;visibility:visible;mso-wrap-style:square;v-text-anchor:middle" coordsize="3051544,334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" path="m,l2987749,10633r63795,3338623l10632,3338623,,xe" fillcolor="#c9b5e8" strokecolor="#7d60a0">
                  <v:fill color2="#f0eaf9" rotate="t" angle="180" colors="0 #c9b5e8;22938f #d9cbee;1 #f0eaf9" focus="100%" type="gradient"/>
                  <v:shadow on="t" color="black" opacity="24903f" origin=",.5" offset="0,.55556mm"/>
                  <v:path arrowok="t" o:connecttype="custom" o:connectlocs="0,0;4194469,12220;4284030,3848986;14926,3836766;0,0" o:connectangles="0,0,0,0,0"/>
                </v:shape>
                <v:rect id="Rectangle 108" o:spid="_x0000_s1095" style="position:absolute;top:7974;width:60605;height:298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" fillcolor="#4f81bd" strokecolor="window" strokeweight="3pt">
                  <v:shadow on="t" color="black" opacity="24903f" origin=",.5" offset="0,.55556mm"/>
                </v:rect>
                <v:roundrect id="Rounded Rectangle 99" o:spid="_x0000_s1096" style="position:absolute;left:2232;width:56668;height:46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" fillcolor="#a3c4ff" strokecolor="#4a7ebb">
                  <v:fill color2="#e5eeff" rotate="t" angle="180" colors="0 #a3c4ff;22938f #bfd5ff;1 #e5eeff" focus="100%" type="gradient"/>
                  <v:shadow on="t" color="black" opacity="24903f" origin=",.5" offset="0,.55556mm"/>
                  <v:textbox>
                    <w:txbxContent>
                      <w:p w:rsidR="00CD7E74" w:rsidRPr="00B80E14" w:rsidRDefault="00CD7E74" w:rsidP="007E360C">
                        <w:pPr>
                          <w:spacing w:after="200" w:line="276" w:lineRule="auto"/>
                          <w:ind w:firstLine="0"/>
                          <w:jc w:val="center"/>
                          <w:rPr>
                            <w:sz w:val="20"/>
                          </w:rPr>
                        </w:pPr>
                        <w:r w:rsidRPr="00B80E14">
                          <w:rPr>
                            <w:bCs/>
                            <w:sz w:val="20"/>
                          </w:rPr>
                          <w:t>Видове процедури за оценка на проектни предложения</w:t>
                        </w:r>
                      </w:p>
                      <w:p w:rsidR="00CD7E74" w:rsidRPr="00B80E14" w:rsidRDefault="00CD7E74" w:rsidP="007E360C">
                        <w:pPr>
                          <w:ind w:firstLine="0"/>
                          <w:jc w:val="center"/>
                          <w:rPr>
                            <w:sz w:val="20"/>
                          </w:rPr>
                        </w:pPr>
                      </w:p>
                    </w:txbxContent>
                  </v:textbox>
                </v:roundrect>
                <v:roundrect id="Rounded Rectangle 100" o:spid="_x0000_s1097" style="position:absolute;left:2232;top:8718;width:14722;height:2271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" fillcolor="#a3c4ff" strokecolor="#4a7ebb">
                  <v:fill color2="#e5eeff" rotate="t" angle="180" colors="0 #a3c4ff;22938f #bfd5ff;1 #e5eeff" focus="100%" type="gradient"/>
                  <v:shadow on="t" color="black" opacity="24903f" origin=",.5" offset="0,.55556mm"/>
                  <v:textbox>
                    <w:txbxContent>
                      <w:p w:rsidR="00CD7E74" w:rsidRPr="00B80E14" w:rsidRDefault="00CD7E74" w:rsidP="007E360C">
                        <w:pPr>
                          <w:spacing w:after="200" w:line="276" w:lineRule="auto"/>
                          <w:ind w:firstLine="0"/>
                          <w:jc w:val="center"/>
                          <w:rPr>
                            <w:bCs/>
                            <w:sz w:val="20"/>
                          </w:rPr>
                        </w:pPr>
                        <w:r>
                          <w:rPr>
                            <w:bCs/>
                            <w:sz w:val="20"/>
                          </w:rPr>
                          <w:t>Оценка на инвестиционен</w:t>
                        </w:r>
                        <w:r w:rsidRPr="00B80E14">
                          <w:rPr>
                            <w:bCs/>
                            <w:sz w:val="20"/>
                          </w:rPr>
                          <w:t xml:space="preserve"> проект</w:t>
                        </w:r>
                      </w:p>
                      <w:p w:rsidR="00CD7E74" w:rsidRPr="00B80E14" w:rsidRDefault="00CD7E74" w:rsidP="007E360C">
                        <w:pPr>
                          <w:ind w:firstLine="0"/>
                          <w:jc w:val="center"/>
                          <w:rPr>
                            <w:sz w:val="20"/>
                          </w:rPr>
                        </w:pPr>
                      </w:p>
                    </w:txbxContent>
                  </v:textbox>
                </v:roundrect>
                <v:roundrect id="Rounded Rectangle 101" o:spid="_x0000_s1098" style="position:absolute;left:24078;top:9861;width:14878;height:2136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" fillcolor="#a3c4ff" strokecolor="#4a7ebb">
                  <v:fill color2="#e5eeff" rotate="t" angle="180" colors="0 #a3c4ff;22938f #bfd5ff;1 #e5eeff" focus="100%" type="gradient"/>
                  <v:shadow on="t" color="black" opacity="24903f" origin=",.5" offset="0,.55556mm"/>
                  <v:textbox>
                    <w:txbxContent>
                      <w:p w:rsidR="00CD7E74" w:rsidRPr="00B80E14" w:rsidRDefault="00CD7E74" w:rsidP="007E360C">
                        <w:pPr>
                          <w:spacing w:after="200" w:line="276" w:lineRule="auto"/>
                          <w:ind w:firstLine="0"/>
                          <w:jc w:val="center"/>
                          <w:rPr>
                            <w:bCs/>
                            <w:sz w:val="20"/>
                          </w:rPr>
                        </w:pPr>
                        <w:r w:rsidRPr="00B80E14">
                          <w:rPr>
                            <w:bCs/>
                            <w:sz w:val="20"/>
                          </w:rPr>
                          <w:t>Оценка на проекти за техническа помощ (вкл. техническа помощ за подготовка на инвестиционен проект</w:t>
                        </w:r>
                        <w:r w:rsidR="006D21E2">
                          <w:rPr>
                            <w:bCs/>
                            <w:sz w:val="20"/>
                          </w:rPr>
                          <w:t>)</w:t>
                        </w:r>
                      </w:p>
                      <w:p w:rsidR="00CD7E74" w:rsidRPr="00B80E14" w:rsidRDefault="00CD7E74" w:rsidP="007E360C">
                        <w:pPr>
                          <w:ind w:firstLine="0"/>
                          <w:jc w:val="center"/>
                          <w:rPr>
                            <w:sz w:val="20"/>
                          </w:rPr>
                        </w:pPr>
                      </w:p>
                    </w:txbxContent>
                  </v:textbox>
                </v:roundrect>
                <v:roundrect id="Rounded Rectangle 102" o:spid="_x0000_s1099" style="position:absolute;left:46145;top:8718;width:13716;height:2136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" fillcolor="#a3c4ff" strokecolor="#4a7ebb">
                  <v:fill color2="#e5eeff" rotate="t" angle="180" colors="0 #a3c4ff;22938f #bfd5ff;1 #e5eeff" focus="100%" type="gradient"/>
                  <v:shadow on="t" color="black" opacity="24903f" origin=",.5" offset="0,.55556mm"/>
                  <v:textbox>
                    <w:txbxContent>
                      <w:p w:rsidR="00CD7E74" w:rsidRPr="00B80E14" w:rsidRDefault="00CD7E74" w:rsidP="007E360C">
                        <w:pPr>
                          <w:ind w:firstLine="0"/>
                          <w:jc w:val="center"/>
                          <w:rPr>
                            <w:sz w:val="20"/>
                          </w:rPr>
                        </w:pPr>
                        <w:r w:rsidRPr="00B80E14">
                          <w:rPr>
                            <w:bCs/>
                            <w:sz w:val="20"/>
                          </w:rPr>
                          <w:t>Оценка на бюджетна линия</w:t>
                        </w:r>
                      </w:p>
                    </w:txbxContent>
                  </v:textbox>
                </v:roundrect>
                <v:roundrect id="Rounded Rectangle 107" o:spid="_x0000_s1100" style="position:absolute;left:4762;top:38808;width:39882;height:46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" fillcolor="#5d417e" strokecolor="#7d60a0">
                  <v:fill color2="#7b57a8" rotate="t" angle="180" colors="0 #5d417e;52429f #7b58a6;1 #7b57a8" focus="100%" type="gradient">
                    <o:fill v:ext="view" type="gradientUnscaled"/>
                  </v:fill>
                  <v:shadow on="t" color="black" opacity="22937f" origin=",.5" offset="0,.63889mm"/>
                  <v:textbox>
                    <w:txbxContent>
                      <w:p w:rsidR="00CD7E74" w:rsidRPr="00B80E14" w:rsidRDefault="00CD7E74" w:rsidP="007E360C">
                        <w:pPr>
                          <w:spacing w:after="200" w:line="276" w:lineRule="auto"/>
                          <w:ind w:firstLine="0"/>
                          <w:jc w:val="center"/>
                          <w:rPr>
                            <w:sz w:val="20"/>
                          </w:rPr>
                        </w:pPr>
                        <w:r w:rsidRPr="00B80E14">
                          <w:rPr>
                            <w:bCs/>
                            <w:sz w:val="20"/>
                          </w:rPr>
                          <w:t>Техническа и финансова оценка</w:t>
                        </w:r>
                      </w:p>
                      <w:p w:rsidR="00CD7E74" w:rsidRPr="00B80E14" w:rsidRDefault="00CD7E74" w:rsidP="007E360C">
                        <w:pPr>
                          <w:ind w:firstLine="0"/>
                          <w:jc w:val="center"/>
                          <w:rPr>
                            <w:sz w:val="20"/>
                          </w:rPr>
                        </w:pPr>
                      </w:p>
                    </w:txbxContent>
                  </v:textbox>
                </v:roundrect>
                <v:shape id="Text Box 109" o:spid="_x0000_s1101" type="#_x0000_t202" style="position:absolute;left:3508;top:33279;width:53693;height:3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" fillcolor="#2c5d98" stroked="f">
                  <v:fill color2="#3a7ccb" rotate="t" angle="180" colors="0 #2c5d98;52429f #3c7bc7;1 #3a7ccb" focus="100%" type="gradient">
                    <o:fill v:ext="view" type="gradientUnscaled"/>
                  </v:fill>
                  <v:shadow on="t" color="black" opacity="22937f" origin=",.5" offset="0,.63889mm"/>
                  <v:textbox>
                    <w:txbxContent>
                      <w:p w:rsidR="00CD7E74" w:rsidRPr="00B80E14" w:rsidRDefault="00CD7E74" w:rsidP="007E360C">
                        <w:pPr>
                          <w:spacing w:after="200" w:line="276" w:lineRule="auto"/>
                          <w:ind w:firstLine="0"/>
                          <w:jc w:val="center"/>
                          <w:rPr>
                            <w:sz w:val="20"/>
                          </w:rPr>
                        </w:pPr>
                        <w:r w:rsidRPr="00B80E14">
                          <w:rPr>
                            <w:bCs/>
                            <w:sz w:val="20"/>
                          </w:rPr>
                          <w:t>Административна проверка и проверка на допустимост</w:t>
                        </w:r>
                      </w:p>
                      <w:p w:rsidR="00CD7E74" w:rsidRPr="00B80E14" w:rsidRDefault="00CD7E74" w:rsidP="007E360C">
                        <w:pPr>
                          <w:ind w:firstLine="0"/>
                          <w:jc w:val="center"/>
                          <w:rPr>
                            <w:sz w:val="20"/>
                          </w:rPr>
                        </w:pPr>
                      </w:p>
                    </w:txbxContent>
                  </v:textbox>
                </v:shape>
                <w10:anchorlock/>
              </v:group>
            </w:pict>
          </mc:Fallback>
        </mc:AlternateContent>
      </w:r>
    </w:p>
    <w:p w:rsidR="007E360C" w:rsidRPr="00496FD7" w:rsidRDefault="007E360C" w:rsidP="007E360C">
      <w:pPr>
        <w:contextualSpacing/>
        <w:rPr>
          <w:szCs w:val="24"/>
        </w:rPr>
      </w:pPr>
      <w:bookmarkStart w:id="123" w:name="_Ref409188957"/>
      <w:bookmarkEnd w:id="111"/>
    </w:p>
    <w:p w:rsidR="007E360C" w:rsidRPr="00496FD7" w:rsidRDefault="007E360C" w:rsidP="007E360C">
      <w:pPr>
        <w:ind w:firstLine="567"/>
        <w:contextualSpacing/>
        <w:rPr>
          <w:szCs w:val="24"/>
        </w:rPr>
      </w:pPr>
      <w:r w:rsidRPr="00496FD7">
        <w:rPr>
          <w:szCs w:val="24"/>
        </w:rPr>
        <w:t xml:space="preserve">Подадените проектни предложения процеса на оценка, се подпомага от модул „Оценка” на ИСУН 2020. В този модул се регистрира основната информация, свързана с отделните етапи от оценката на проектното предложение, докладите на оценителната комисия и решенията на Управляващия орган във връзка с одобрението или отхвърлянето на съответното проектно предложение. Модулът позволява цялата работа на оценителната комисия да се проведе в системата, като оценителят, който получи достъп до системата може да въвежда своите оценки директно, като за това се запазва одитна следа. </w:t>
      </w:r>
    </w:p>
    <w:p w:rsidR="007E360C" w:rsidRPr="00496FD7" w:rsidRDefault="007E360C" w:rsidP="007E360C">
      <w:pPr>
        <w:ind w:firstLine="567"/>
        <w:contextualSpacing/>
        <w:rPr>
          <w:szCs w:val="24"/>
        </w:rPr>
      </w:pPr>
      <w:r w:rsidRPr="00496FD7">
        <w:rPr>
          <w:b/>
          <w:szCs w:val="24"/>
        </w:rPr>
        <w:t xml:space="preserve">Модел „Оценка“ </w:t>
      </w:r>
      <w:r w:rsidRPr="00496FD7">
        <w:rPr>
          <w:szCs w:val="24"/>
        </w:rPr>
        <w:t xml:space="preserve">осигурява функциите по оценката на постъпилите проектни предложения през подмодул „Кандидатстване“. Оценката на проектните предложения е комплексна и включва оценка на административното съответствие и допустимостта и техническа и финансова оценка. Оценката на административното съответствие и допустимостта се извършва от членовете на оценителната комисия. При констатиране на липса на документи и/или несъответствие с критериите за административно съответствие и допустимост, системата осигурява функционалност за осъществяване на комуникация между комисията за оценка и кандидата. </w:t>
      </w:r>
    </w:p>
    <w:p w:rsidR="007E360C" w:rsidRPr="00496FD7" w:rsidRDefault="007E360C" w:rsidP="007E360C">
      <w:pPr>
        <w:spacing w:before="120"/>
        <w:rPr>
          <w:szCs w:val="24"/>
          <w:lang w:eastAsia="bg-BG"/>
        </w:rPr>
      </w:pPr>
      <w:r w:rsidRPr="00496FD7">
        <w:rPr>
          <w:szCs w:val="24"/>
          <w:lang w:eastAsia="bg-BG"/>
        </w:rPr>
        <w:lastRenderedPageBreak/>
        <w:t xml:space="preserve">Основите стъпки в процеса на оценка са свързани със създаване на оценителна сесия, асоцииране на подадените проектни предложения, избор на оценители, назначаване на оценителна комисия, оценка на получените проектни предложения и издаване на решение от УО. </w:t>
      </w:r>
    </w:p>
    <w:p w:rsidR="007E360C" w:rsidRPr="00496FD7" w:rsidRDefault="007E360C" w:rsidP="007E360C">
      <w:pPr>
        <w:autoSpaceDE w:val="0"/>
        <w:autoSpaceDN w:val="0"/>
        <w:adjustRightInd w:val="0"/>
        <w:ind w:firstLine="360"/>
        <w:rPr>
          <w:szCs w:val="24"/>
          <w:lang w:eastAsia="bg-BG"/>
        </w:rPr>
      </w:pPr>
      <w:r w:rsidRPr="00496FD7">
        <w:rPr>
          <w:szCs w:val="24"/>
          <w:lang w:eastAsia="bg-BG" w:bidi="bg-BG"/>
        </w:rPr>
        <w:t>Оценката на електронно подадени проекти се извършва изцяло в средата на ИСУН 2020. Оценката протича в оценителни сесии – сесията обхваща процеса на оценка на едно проектно предложение от една оценителна комисия, като п</w:t>
      </w:r>
      <w:r w:rsidRPr="00496FD7">
        <w:rPr>
          <w:szCs w:val="24"/>
          <w:lang w:eastAsia="bg-BG"/>
        </w:rPr>
        <w:t>ри наличие на положителен резултат от оценяването ръководителят на управляващия орган в едноседмичен срок от приключване на оценяването взема решение за</w:t>
      </w:r>
      <w:r w:rsidRPr="00496FD7">
        <w:rPr>
          <w:szCs w:val="24"/>
          <w:lang w:eastAsia="bg-BG" w:bidi="bg-BG"/>
        </w:rPr>
        <w:t>:</w:t>
      </w:r>
    </w:p>
    <w:p w:rsidR="00975773" w:rsidRPr="00496FD7" w:rsidRDefault="007E360C" w:rsidP="00975773">
      <w:pPr>
        <w:pStyle w:val="ListParagraph"/>
        <w:numPr>
          <w:ilvl w:val="0"/>
          <w:numId w:val="11"/>
        </w:numPr>
        <w:spacing w:before="120"/>
        <w:rPr>
          <w:szCs w:val="24"/>
          <w:lang w:eastAsia="bg-BG"/>
        </w:rPr>
      </w:pPr>
      <w:r w:rsidRPr="00496FD7">
        <w:rPr>
          <w:szCs w:val="24"/>
          <w:lang w:eastAsia="bg-BG"/>
        </w:rPr>
        <w:t>предоставяне на безвъзмездна финансова помощ за одобреното проектно предложение (чл. 45, ал. 1, т. 1</w:t>
      </w:r>
      <w:r w:rsidR="00EC732D">
        <w:rPr>
          <w:szCs w:val="24"/>
          <w:lang w:eastAsia="bg-BG"/>
        </w:rPr>
        <w:t>/ чл. 37, ал. 3</w:t>
      </w:r>
      <w:r w:rsidRPr="00496FD7">
        <w:rPr>
          <w:szCs w:val="24"/>
          <w:lang w:eastAsia="bg-BG"/>
        </w:rPr>
        <w:t xml:space="preserve"> от </w:t>
      </w:r>
      <w:r w:rsidR="00436CBC" w:rsidRPr="00496FD7">
        <w:rPr>
          <w:szCs w:val="24"/>
          <w:lang w:eastAsia="bg-BG"/>
        </w:rPr>
        <w:t>ЗУСЕФСУ</w:t>
      </w:r>
      <w:r w:rsidRPr="00496FD7">
        <w:rPr>
          <w:szCs w:val="24"/>
          <w:lang w:eastAsia="bg-BG"/>
        </w:rPr>
        <w:t>)</w:t>
      </w:r>
      <w:r w:rsidR="00975773" w:rsidRPr="00496FD7">
        <w:rPr>
          <w:szCs w:val="24"/>
          <w:lang w:eastAsia="bg-BG"/>
        </w:rPr>
        <w:t>. Когато е приложимо УО на ПТС изпраща информация на ЕК за операция от стратегическо значение.</w:t>
      </w:r>
    </w:p>
    <w:p w:rsidR="007E360C" w:rsidRPr="00496FD7" w:rsidRDefault="007E360C" w:rsidP="00E80472">
      <w:pPr>
        <w:pStyle w:val="ListParagraph"/>
        <w:numPr>
          <w:ilvl w:val="0"/>
          <w:numId w:val="11"/>
        </w:numPr>
        <w:spacing w:before="120"/>
        <w:rPr>
          <w:szCs w:val="24"/>
          <w:lang w:eastAsia="bg-BG" w:bidi="bg-BG"/>
        </w:rPr>
      </w:pPr>
      <w:r w:rsidRPr="00496FD7">
        <w:rPr>
          <w:szCs w:val="24"/>
          <w:lang w:eastAsia="bg-BG"/>
        </w:rPr>
        <w:t xml:space="preserve">одобряване на бюджетна линия при условията на одобрения финансов план (чл. 45, ал. 1, т. 3 от </w:t>
      </w:r>
      <w:r w:rsidR="00436CBC" w:rsidRPr="00496FD7">
        <w:rPr>
          <w:szCs w:val="24"/>
          <w:lang w:eastAsia="bg-BG"/>
        </w:rPr>
        <w:t>ЗУСЕФСУ</w:t>
      </w:r>
      <w:r w:rsidRPr="00496FD7">
        <w:rPr>
          <w:szCs w:val="24"/>
          <w:lang w:eastAsia="bg-BG"/>
        </w:rPr>
        <w:t>);</w:t>
      </w:r>
    </w:p>
    <w:p w:rsidR="007E360C" w:rsidRPr="00496FD7" w:rsidRDefault="007E360C" w:rsidP="007E360C">
      <w:pPr>
        <w:spacing w:before="120"/>
        <w:rPr>
          <w:b/>
          <w:szCs w:val="24"/>
          <w:lang w:eastAsia="bg-BG" w:bidi="bg-BG"/>
        </w:rPr>
      </w:pPr>
      <w:r w:rsidRPr="00496FD7">
        <w:rPr>
          <w:b/>
          <w:szCs w:val="24"/>
          <w:lang w:eastAsia="bg-BG" w:bidi="bg-BG"/>
        </w:rPr>
        <w:t>Основните стъпки при създаването на всяка сесия са следните:</w:t>
      </w:r>
    </w:p>
    <w:p w:rsidR="007E360C" w:rsidRPr="00496FD7" w:rsidRDefault="007E360C" w:rsidP="00E80472">
      <w:pPr>
        <w:numPr>
          <w:ilvl w:val="0"/>
          <w:numId w:val="29"/>
        </w:numPr>
        <w:tabs>
          <w:tab w:val="left" w:pos="851"/>
        </w:tabs>
        <w:spacing w:before="120"/>
        <w:ind w:left="0" w:firstLine="567"/>
        <w:rPr>
          <w:szCs w:val="24"/>
          <w:lang w:eastAsia="bg-BG" w:bidi="bg-BG"/>
        </w:rPr>
      </w:pPr>
      <w:r w:rsidRPr="00496FD7">
        <w:rPr>
          <w:szCs w:val="24"/>
          <w:lang w:eastAsia="bg-BG" w:bidi="bg-BG"/>
        </w:rPr>
        <w:t>Създаване на сесия за оценка на предложения – потребителят - началникът на отдел „Програмиране“ в дирекция КПП създава оценителна сесия към съответната процедура като регистрира основните данни към нея.</w:t>
      </w:r>
    </w:p>
    <w:p w:rsidR="007E360C" w:rsidRPr="00496FD7" w:rsidRDefault="007E360C" w:rsidP="00E80472">
      <w:pPr>
        <w:numPr>
          <w:ilvl w:val="0"/>
          <w:numId w:val="29"/>
        </w:numPr>
        <w:tabs>
          <w:tab w:val="left" w:pos="851"/>
        </w:tabs>
        <w:spacing w:before="120"/>
        <w:ind w:left="0" w:firstLine="567"/>
        <w:rPr>
          <w:szCs w:val="24"/>
          <w:lang w:eastAsia="bg-BG" w:bidi="bg-BG"/>
        </w:rPr>
      </w:pPr>
      <w:r w:rsidRPr="00496FD7">
        <w:rPr>
          <w:szCs w:val="24"/>
          <w:lang w:eastAsia="bg-BG" w:bidi="bg-BG"/>
        </w:rPr>
        <w:t>Асоцииране на проектни предложения към сесията – системата зарежда регистрираните за съответния период п</w:t>
      </w:r>
      <w:r w:rsidR="0011729F" w:rsidRPr="00496FD7">
        <w:rPr>
          <w:szCs w:val="24"/>
          <w:lang w:eastAsia="bg-BG" w:bidi="bg-BG"/>
        </w:rPr>
        <w:t>роектни предложения в системата</w:t>
      </w:r>
      <w:r w:rsidRPr="00496FD7">
        <w:rPr>
          <w:szCs w:val="24"/>
          <w:lang w:eastAsia="bg-BG" w:bidi="bg-BG"/>
        </w:rPr>
        <w:t>.</w:t>
      </w:r>
    </w:p>
    <w:p w:rsidR="007E360C" w:rsidRPr="00496FD7" w:rsidRDefault="007E360C" w:rsidP="00E80472">
      <w:pPr>
        <w:numPr>
          <w:ilvl w:val="0"/>
          <w:numId w:val="29"/>
        </w:numPr>
        <w:tabs>
          <w:tab w:val="left" w:pos="851"/>
        </w:tabs>
        <w:spacing w:before="120"/>
        <w:ind w:left="0" w:firstLine="567"/>
        <w:rPr>
          <w:szCs w:val="24"/>
          <w:lang w:eastAsia="bg-BG" w:bidi="bg-BG"/>
        </w:rPr>
      </w:pPr>
      <w:r w:rsidRPr="00496FD7">
        <w:rPr>
          <w:szCs w:val="24"/>
          <w:lang w:eastAsia="bg-BG" w:bidi="bg-BG"/>
        </w:rPr>
        <w:t>Асоцииране на членове на оценителната комисия – потребителят началникът на отдел „Програмиране“ в дирекция КПП посочва членовете на оценителната комисия, които ще участват в процеса на оценяване на проектните предложения, като се посочват техните роли в процеса. Ролите в процеса на оценка са – председател, оценители (резервни членове, външни експерти) и помощник-оценители (наблюдател, външни експерти). Права да оценяват проектните предложения имат единствено оценителите. Ролята на помощник-</w:t>
      </w:r>
      <w:r w:rsidR="006D21E2">
        <w:rPr>
          <w:szCs w:val="24"/>
          <w:lang w:eastAsia="bg-BG" w:bidi="bg-BG"/>
        </w:rPr>
        <w:t>оценителите е ограничена само до</w:t>
      </w:r>
      <w:r w:rsidRPr="00496FD7">
        <w:rPr>
          <w:szCs w:val="24"/>
          <w:lang w:eastAsia="bg-BG" w:bidi="bg-BG"/>
        </w:rPr>
        <w:t xml:space="preserve"> това да дават становища по определени аспекти на проекта, които се прилагат към проектното предложение. Те няма да въвеждат оценки или друга информация.</w:t>
      </w:r>
    </w:p>
    <w:p w:rsidR="007E360C" w:rsidRPr="00496FD7" w:rsidRDefault="007E360C" w:rsidP="00E80472">
      <w:pPr>
        <w:numPr>
          <w:ilvl w:val="0"/>
          <w:numId w:val="29"/>
        </w:numPr>
        <w:tabs>
          <w:tab w:val="left" w:pos="851"/>
        </w:tabs>
        <w:spacing w:before="120"/>
        <w:ind w:left="0" w:firstLine="567"/>
        <w:rPr>
          <w:szCs w:val="24"/>
          <w:lang w:eastAsia="bg-BG" w:bidi="bg-BG"/>
        </w:rPr>
      </w:pPr>
      <w:r w:rsidRPr="00496FD7">
        <w:rPr>
          <w:szCs w:val="24"/>
          <w:lang w:eastAsia="bg-BG" w:bidi="bg-BG"/>
        </w:rPr>
        <w:t>Зареждане на данни за проектите – при създаването на оценителна сесия информацията по присъединените проектни предложения се зарежда директно в ИСУН 2020 и е достъпна за съответните оценители. Разпределянето за оценка на проектни предложения в ИСУН 2020 се извършва от председателят на оценителната комисия, представител на отдел „Програмиране“ в дирекция КПП. Всички оценители оценяват всяко проектно предложение.</w:t>
      </w:r>
    </w:p>
    <w:p w:rsidR="007E360C" w:rsidRPr="00496FD7" w:rsidRDefault="007E360C" w:rsidP="00E80472">
      <w:pPr>
        <w:numPr>
          <w:ilvl w:val="0"/>
          <w:numId w:val="29"/>
        </w:numPr>
        <w:tabs>
          <w:tab w:val="left" w:pos="851"/>
        </w:tabs>
        <w:spacing w:before="120"/>
        <w:ind w:left="0" w:firstLine="567"/>
        <w:rPr>
          <w:szCs w:val="24"/>
          <w:lang w:eastAsia="bg-BG" w:bidi="bg-BG"/>
        </w:rPr>
      </w:pPr>
      <w:r w:rsidRPr="00496FD7">
        <w:rPr>
          <w:szCs w:val="24"/>
          <w:lang w:eastAsia="bg-BG" w:bidi="bg-BG"/>
        </w:rPr>
        <w:t>Оценителен лист – системата възпроизвежда въведения в процедурата оценителен лист</w:t>
      </w:r>
    </w:p>
    <w:p w:rsidR="007E360C" w:rsidRPr="00496FD7" w:rsidRDefault="007E360C" w:rsidP="00E80472">
      <w:pPr>
        <w:numPr>
          <w:ilvl w:val="0"/>
          <w:numId w:val="29"/>
        </w:numPr>
        <w:tabs>
          <w:tab w:val="left" w:pos="851"/>
        </w:tabs>
        <w:spacing w:before="120"/>
        <w:ind w:left="0" w:firstLine="567"/>
        <w:rPr>
          <w:szCs w:val="24"/>
          <w:lang w:eastAsia="bg-BG" w:bidi="bg-BG"/>
        </w:rPr>
      </w:pPr>
      <w:r w:rsidRPr="00496FD7">
        <w:rPr>
          <w:szCs w:val="24"/>
          <w:lang w:eastAsia="bg-BG" w:bidi="bg-BG"/>
        </w:rPr>
        <w:t xml:space="preserve">Разпределение на проектните предложения между оценителите се извършва от председателя на оценителната комисия – разпределението на подадените проектни предложения се извършва автоматично, като при необходимост се допуска и ръчно въвеждане на оценители при наличието на съответната обосновка. </w:t>
      </w:r>
    </w:p>
    <w:p w:rsidR="007E360C" w:rsidRPr="00496FD7" w:rsidRDefault="007E360C" w:rsidP="00E80472">
      <w:pPr>
        <w:numPr>
          <w:ilvl w:val="0"/>
          <w:numId w:val="29"/>
        </w:numPr>
        <w:tabs>
          <w:tab w:val="left" w:pos="851"/>
        </w:tabs>
        <w:spacing w:before="120"/>
        <w:ind w:left="0" w:firstLine="567"/>
        <w:rPr>
          <w:szCs w:val="24"/>
          <w:lang w:eastAsia="bg-BG" w:bidi="bg-BG"/>
        </w:rPr>
      </w:pPr>
      <w:r w:rsidRPr="00496FD7">
        <w:rPr>
          <w:szCs w:val="24"/>
          <w:lang w:eastAsia="bg-BG" w:bidi="bg-BG"/>
        </w:rPr>
        <w:t>Достъп до системата – всеки оценител влиза в системата с потребителско име и парола.</w:t>
      </w:r>
    </w:p>
    <w:p w:rsidR="007E360C" w:rsidRPr="00496FD7" w:rsidRDefault="007E360C" w:rsidP="00E80472">
      <w:pPr>
        <w:numPr>
          <w:ilvl w:val="0"/>
          <w:numId w:val="29"/>
        </w:numPr>
        <w:tabs>
          <w:tab w:val="left" w:pos="851"/>
        </w:tabs>
        <w:spacing w:before="120"/>
        <w:ind w:left="0" w:firstLine="567"/>
        <w:rPr>
          <w:szCs w:val="24"/>
          <w:lang w:eastAsia="bg-BG" w:bidi="bg-BG"/>
        </w:rPr>
      </w:pPr>
      <w:r w:rsidRPr="00496FD7">
        <w:rPr>
          <w:szCs w:val="24"/>
          <w:lang w:eastAsia="bg-BG" w:bidi="bg-BG"/>
        </w:rPr>
        <w:t xml:space="preserve">Комуникация – за проекти подадени по електронен път комуникацията с кандидата се извършва чрез ИСУН 2020 от администратора на сесия (Председателя на оценителната </w:t>
      </w:r>
      <w:r w:rsidRPr="00496FD7">
        <w:rPr>
          <w:szCs w:val="24"/>
          <w:lang w:eastAsia="bg-BG" w:bidi="bg-BG"/>
        </w:rPr>
        <w:lastRenderedPageBreak/>
        <w:t>комисия). По преценка на оценителната комисия може да изготви и писмо до бенефициента, което се съгласува с директора на дирекция КПП и началника на отдел „Програмиране“. Бележки и коментари във връзка с оценката на ФК се изпращат до бенефициента, чрез модул „Комуникация“ на ИСУН 2020.</w:t>
      </w:r>
    </w:p>
    <w:p w:rsidR="007E360C" w:rsidRPr="00496FD7" w:rsidRDefault="007E360C" w:rsidP="00E80472">
      <w:pPr>
        <w:numPr>
          <w:ilvl w:val="0"/>
          <w:numId w:val="29"/>
        </w:numPr>
        <w:tabs>
          <w:tab w:val="left" w:pos="851"/>
        </w:tabs>
        <w:spacing w:before="120"/>
        <w:ind w:left="0" w:firstLine="567"/>
        <w:rPr>
          <w:szCs w:val="24"/>
          <w:lang w:eastAsia="bg-BG" w:bidi="bg-BG"/>
        </w:rPr>
      </w:pPr>
      <w:r w:rsidRPr="00496FD7">
        <w:rPr>
          <w:szCs w:val="24"/>
          <w:lang w:eastAsia="bg-BG" w:bidi="bg-BG"/>
        </w:rPr>
        <w:t>Оценка на подадените проектни предложения – въз основа на направеното разпределение оценителят извършва:</w:t>
      </w:r>
    </w:p>
    <w:p w:rsidR="007E360C" w:rsidRPr="00496FD7" w:rsidRDefault="007E360C" w:rsidP="00E80472">
      <w:pPr>
        <w:numPr>
          <w:ilvl w:val="1"/>
          <w:numId w:val="30"/>
        </w:numPr>
        <w:spacing w:before="120"/>
        <w:rPr>
          <w:szCs w:val="24"/>
          <w:lang w:eastAsia="bg-BG" w:bidi="bg-BG"/>
        </w:rPr>
      </w:pPr>
      <w:r w:rsidRPr="00496FD7">
        <w:rPr>
          <w:szCs w:val="24"/>
          <w:lang w:eastAsia="bg-BG" w:bidi="bg-BG"/>
        </w:rPr>
        <w:t>Административно съответствие и допустимост;</w:t>
      </w:r>
    </w:p>
    <w:p w:rsidR="007E360C" w:rsidRPr="00496FD7" w:rsidRDefault="007E360C" w:rsidP="00E80472">
      <w:pPr>
        <w:numPr>
          <w:ilvl w:val="1"/>
          <w:numId w:val="30"/>
        </w:numPr>
        <w:spacing w:before="120"/>
        <w:rPr>
          <w:szCs w:val="24"/>
          <w:lang w:eastAsia="bg-BG" w:bidi="bg-BG"/>
        </w:rPr>
      </w:pPr>
      <w:r w:rsidRPr="00496FD7">
        <w:rPr>
          <w:szCs w:val="24"/>
          <w:lang w:eastAsia="bg-BG" w:bidi="bg-BG"/>
        </w:rPr>
        <w:t>Техническа и финансова оценка (неприложимо за бюджетни линии).</w:t>
      </w:r>
    </w:p>
    <w:p w:rsidR="007E360C" w:rsidRPr="00496FD7" w:rsidRDefault="007E360C" w:rsidP="00E80472">
      <w:pPr>
        <w:numPr>
          <w:ilvl w:val="0"/>
          <w:numId w:val="29"/>
        </w:numPr>
        <w:tabs>
          <w:tab w:val="left" w:pos="851"/>
        </w:tabs>
        <w:spacing w:before="120"/>
        <w:ind w:left="0" w:firstLine="567"/>
        <w:rPr>
          <w:szCs w:val="24"/>
          <w:lang w:eastAsia="bg-BG" w:bidi="bg-BG"/>
        </w:rPr>
      </w:pPr>
      <w:r w:rsidRPr="00496FD7">
        <w:rPr>
          <w:szCs w:val="24"/>
          <w:lang w:eastAsia="bg-BG" w:bidi="bg-BG"/>
        </w:rPr>
        <w:t>Оценителят, оценява проектното предложение, като отговаря на критериите с „Да“, „Не“ или „Неприложимо“, в зависимост от информацията във ФК, като в случай на нередовности/ несъответствия/ бележки или коментари, същите се отразяват в поле „Забележка“ или в прикачен файл към оценителния лист.</w:t>
      </w:r>
    </w:p>
    <w:p w:rsidR="007E360C" w:rsidRPr="00496FD7" w:rsidRDefault="007E360C" w:rsidP="00E80472">
      <w:pPr>
        <w:numPr>
          <w:ilvl w:val="0"/>
          <w:numId w:val="29"/>
        </w:numPr>
        <w:tabs>
          <w:tab w:val="left" w:pos="851"/>
        </w:tabs>
        <w:spacing w:before="120"/>
        <w:ind w:left="0" w:firstLine="567"/>
        <w:rPr>
          <w:szCs w:val="24"/>
          <w:lang w:eastAsia="bg-BG" w:bidi="bg-BG"/>
        </w:rPr>
      </w:pPr>
      <w:r w:rsidRPr="00496FD7">
        <w:rPr>
          <w:szCs w:val="24"/>
          <w:lang w:eastAsia="bg-BG" w:bidi="bg-BG"/>
        </w:rPr>
        <w:t xml:space="preserve">Председателят на оценителната комисия, извършва класиране на оцененото проектно предложение – въз основа на получените за него оценки и като резултат системата показва дали проектното предложение е одобрено или отхвърлено. </w:t>
      </w:r>
    </w:p>
    <w:p w:rsidR="007E360C" w:rsidRPr="00496FD7" w:rsidRDefault="007E360C" w:rsidP="00E80472">
      <w:pPr>
        <w:numPr>
          <w:ilvl w:val="0"/>
          <w:numId w:val="29"/>
        </w:numPr>
        <w:tabs>
          <w:tab w:val="left" w:pos="851"/>
        </w:tabs>
        <w:spacing w:before="120"/>
        <w:ind w:left="0" w:firstLine="567"/>
        <w:rPr>
          <w:szCs w:val="24"/>
          <w:lang w:eastAsia="bg-BG" w:bidi="bg-BG"/>
        </w:rPr>
      </w:pPr>
      <w:r w:rsidRPr="00496FD7">
        <w:rPr>
          <w:szCs w:val="24"/>
          <w:lang w:eastAsia="bg-BG" w:bidi="bg-BG"/>
        </w:rPr>
        <w:t>Вземане на решение – резултатите от проведената оценка се обобщават съответно в доклад на оценителната комисия и решение на ръководителя на УО</w:t>
      </w:r>
      <w:r w:rsidR="00EC732D">
        <w:rPr>
          <w:szCs w:val="24"/>
          <w:lang w:eastAsia="bg-BG" w:bidi="bg-BG"/>
        </w:rPr>
        <w:t xml:space="preserve"> на ПТС</w:t>
      </w:r>
      <w:r w:rsidRPr="00496FD7">
        <w:rPr>
          <w:szCs w:val="24"/>
          <w:lang w:eastAsia="bg-BG" w:bidi="bg-BG"/>
        </w:rPr>
        <w:t>.</w:t>
      </w:r>
    </w:p>
    <w:p w:rsidR="007E360C" w:rsidRPr="00496FD7" w:rsidRDefault="007E360C" w:rsidP="007E360C">
      <w:pPr>
        <w:contextualSpacing/>
        <w:rPr>
          <w:szCs w:val="24"/>
        </w:rPr>
      </w:pPr>
    </w:p>
    <w:p w:rsidR="007E360C" w:rsidRPr="00496FD7" w:rsidRDefault="007E360C" w:rsidP="007E360C">
      <w:pPr>
        <w:contextualSpacing/>
        <w:rPr>
          <w:szCs w:val="24"/>
        </w:rPr>
      </w:pPr>
    </w:p>
    <w:p w:rsidR="007E360C" w:rsidRPr="00496FD7" w:rsidRDefault="007E360C" w:rsidP="007E360C">
      <w:pPr>
        <w:pStyle w:val="Style2"/>
        <w:rPr>
          <w:lang w:val="bg-BG"/>
        </w:rPr>
      </w:pPr>
      <w:bookmarkStart w:id="124" w:name="_Toc479775648"/>
      <w:bookmarkStart w:id="125" w:name="_Toc140150217"/>
      <w:bookmarkStart w:id="126" w:name="_Toc152769897"/>
      <w:r w:rsidRPr="00496FD7">
        <w:rPr>
          <w:lang w:val="bg-BG"/>
        </w:rPr>
        <w:t>Описание на процеса на оценка на проектни предложения</w:t>
      </w:r>
      <w:bookmarkEnd w:id="124"/>
      <w:bookmarkEnd w:id="125"/>
      <w:bookmarkEnd w:id="126"/>
    </w:p>
    <w:p w:rsidR="007E360C" w:rsidRPr="00496FD7" w:rsidRDefault="007E360C" w:rsidP="007E360C">
      <w:pPr>
        <w:ind w:firstLine="709"/>
        <w:rPr>
          <w:szCs w:val="24"/>
          <w:lang w:eastAsia="bg-BG"/>
        </w:rPr>
      </w:pPr>
      <w:r w:rsidRPr="00496FD7">
        <w:rPr>
          <w:szCs w:val="24"/>
          <w:lang w:eastAsia="bg-BG"/>
        </w:rPr>
        <w:t>Методът за оценка</w:t>
      </w:r>
      <w:r w:rsidR="00FD28E6" w:rsidRPr="00496FD7">
        <w:rPr>
          <w:szCs w:val="24"/>
          <w:lang w:val="en-US" w:eastAsia="bg-BG"/>
        </w:rPr>
        <w:t xml:space="preserve"> </w:t>
      </w:r>
      <w:r w:rsidR="00FD28E6" w:rsidRPr="00496FD7">
        <w:rPr>
          <w:szCs w:val="24"/>
          <w:lang w:eastAsia="bg-BG"/>
        </w:rPr>
        <w:t>при процедура на директно предоставяне</w:t>
      </w:r>
      <w:r w:rsidRPr="00496FD7">
        <w:rPr>
          <w:szCs w:val="24"/>
          <w:lang w:eastAsia="bg-BG"/>
        </w:rPr>
        <w:t>, който се използва е проектите да бъдат оценявани един по един, и те да бъдат сравнявани единствено по установените критерии.</w:t>
      </w:r>
      <w:r w:rsidR="00FD28E6" w:rsidRPr="00496FD7">
        <w:rPr>
          <w:szCs w:val="24"/>
          <w:lang w:eastAsia="bg-BG"/>
        </w:rPr>
        <w:t xml:space="preserve"> При процедура на подбор се прилагат критериите за оценка, одобрени от КН на ПТС и всички постъпили в срок проектни предложения се оценяват. </w:t>
      </w:r>
      <w:r w:rsidRPr="00496FD7">
        <w:rPr>
          <w:szCs w:val="24"/>
          <w:lang w:eastAsia="bg-BG"/>
        </w:rPr>
        <w:t>Процесът по оценка на получените проектни предложения стартира след регистриране на Решението за сформиране на оценителна комисия и връчването на членовете й.</w:t>
      </w:r>
    </w:p>
    <w:p w:rsidR="007E360C" w:rsidRPr="00496FD7" w:rsidRDefault="007E360C" w:rsidP="007E360C">
      <w:pPr>
        <w:contextualSpacing/>
        <w:rPr>
          <w:szCs w:val="24"/>
          <w:lang w:eastAsia="bg-BG"/>
        </w:rPr>
      </w:pPr>
    </w:p>
    <w:p w:rsidR="007E360C" w:rsidRPr="00496FD7" w:rsidRDefault="007E360C" w:rsidP="007E360C">
      <w:pPr>
        <w:pStyle w:val="Style3"/>
        <w:rPr>
          <w:lang w:val="bg-BG"/>
        </w:rPr>
      </w:pPr>
      <w:bookmarkStart w:id="127" w:name="_Toc479775649"/>
      <w:r w:rsidRPr="00496FD7">
        <w:rPr>
          <w:lang w:val="bg-BG"/>
        </w:rPr>
        <w:t>Проверка за административно съответствие</w:t>
      </w:r>
      <w:bookmarkEnd w:id="127"/>
    </w:p>
    <w:p w:rsidR="007E360C" w:rsidRPr="00496FD7" w:rsidRDefault="007E360C" w:rsidP="007E360C">
      <w:pPr>
        <w:spacing w:after="120"/>
        <w:ind w:firstLine="709"/>
        <w:rPr>
          <w:szCs w:val="24"/>
          <w:lang w:eastAsia="bg-BG"/>
        </w:rPr>
      </w:pPr>
      <w:r w:rsidRPr="00496FD7">
        <w:rPr>
          <w:szCs w:val="24"/>
          <w:lang w:eastAsia="bg-BG"/>
        </w:rPr>
        <w:t>Проверка за административно съответствие на проектното предложение се прилага при оценката на всички подадени проектни предложения. Членовете на Оценителната комисия проверяват за административното съответствие на проектното предложение/ бюджетната линия (финансовия план) за съответствие с изискванията на Насоките за процедура</w:t>
      </w:r>
      <w:r w:rsidR="0011729F" w:rsidRPr="00496FD7">
        <w:rPr>
          <w:szCs w:val="24"/>
          <w:lang w:eastAsia="bg-BG"/>
        </w:rPr>
        <w:t>та</w:t>
      </w:r>
      <w:r w:rsidR="00210719" w:rsidRPr="00496FD7">
        <w:rPr>
          <w:szCs w:val="24"/>
          <w:lang w:eastAsia="bg-BG"/>
        </w:rPr>
        <w:t xml:space="preserve"> и одобрените от КН на ПТС критерии за оценка</w:t>
      </w:r>
      <w:r w:rsidRPr="00496FD7">
        <w:rPr>
          <w:szCs w:val="24"/>
          <w:lang w:eastAsia="bg-BG"/>
        </w:rPr>
        <w:t>, като отразяват оценката в ИСУН 2020. Проверките за административно съответствие включват основно подходящо попълване на ФК/финансовия план и съответствието на приложените документи с изискуемите документи.</w:t>
      </w:r>
    </w:p>
    <w:p w:rsidR="007E360C" w:rsidRPr="00496FD7" w:rsidRDefault="007E360C" w:rsidP="007E360C">
      <w:pPr>
        <w:contextualSpacing/>
        <w:rPr>
          <w:szCs w:val="24"/>
          <w:lang w:eastAsia="bg-BG"/>
        </w:rPr>
      </w:pPr>
      <w:r w:rsidRPr="00496FD7">
        <w:rPr>
          <w:szCs w:val="24"/>
          <w:lang w:eastAsia="bg-BG"/>
        </w:rPr>
        <w:t>Всички критерии за оценка на административното съответствие  се оценяват с отговор „да“ или „не“, което се отразява в зависимост от вида на проектното предложение в оценителна таблица.</w:t>
      </w:r>
    </w:p>
    <w:p w:rsidR="007E360C" w:rsidRPr="00496FD7" w:rsidRDefault="007E360C" w:rsidP="007E360C">
      <w:pPr>
        <w:spacing w:after="120"/>
        <w:rPr>
          <w:szCs w:val="24"/>
          <w:lang w:eastAsia="bg-BG"/>
        </w:rPr>
      </w:pPr>
      <w:r w:rsidRPr="00496FD7">
        <w:rPr>
          <w:szCs w:val="24"/>
          <w:lang w:eastAsia="bg-BG"/>
        </w:rPr>
        <w:t xml:space="preserve">Критериите за проверка за административно съответствие на проектното предложение/финансовия план включват дали:         </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t xml:space="preserve">Формулярът за кандидатстване (ФК) е получен в УО на ПТС по реда и начина съгласно </w:t>
      </w:r>
      <w:r w:rsidR="0011729F" w:rsidRPr="00496FD7">
        <w:rPr>
          <w:szCs w:val="24"/>
          <w:lang w:eastAsia="bg-BG"/>
        </w:rPr>
        <w:t>Насоките по процедурата</w:t>
      </w:r>
      <w:r w:rsidRPr="00496FD7">
        <w:rPr>
          <w:szCs w:val="24"/>
          <w:lang w:eastAsia="bg-BG"/>
        </w:rPr>
        <w:t>;</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lastRenderedPageBreak/>
        <w:t xml:space="preserve">Използван е образеца на ФК, съгласно ИСУН 2020 и </w:t>
      </w:r>
      <w:r w:rsidR="0011729F" w:rsidRPr="00496FD7">
        <w:rPr>
          <w:szCs w:val="24"/>
          <w:lang w:eastAsia="bg-BG"/>
        </w:rPr>
        <w:t>Насоките по процедурата</w:t>
      </w:r>
      <w:r w:rsidRPr="00496FD7">
        <w:rPr>
          <w:szCs w:val="24"/>
          <w:lang w:eastAsia="bg-BG"/>
        </w:rPr>
        <w:t>;</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pacing w:val="10"/>
          <w:szCs w:val="24"/>
        </w:rPr>
        <w:t xml:space="preserve">Формулярът за кандидатстване е попълнен с цялата изискуема информация в съответствие с указанията за попълване в </w:t>
      </w:r>
      <w:r w:rsidR="0011729F" w:rsidRPr="00496FD7">
        <w:rPr>
          <w:spacing w:val="10"/>
          <w:szCs w:val="24"/>
        </w:rPr>
        <w:t>Насоките по процедурата</w:t>
      </w:r>
      <w:r w:rsidRPr="00496FD7">
        <w:rPr>
          <w:szCs w:val="24"/>
          <w:lang w:eastAsia="bg-BG"/>
        </w:rPr>
        <w:t>;</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pacing w:val="10"/>
          <w:szCs w:val="24"/>
        </w:rPr>
        <w:t>Формулярът за кандидатстване е подписан от бенефициента</w:t>
      </w:r>
      <w:r w:rsidRPr="00496FD7">
        <w:rPr>
          <w:szCs w:val="24"/>
          <w:lang w:eastAsia="bg-BG"/>
        </w:rPr>
        <w:t>.</w:t>
      </w:r>
    </w:p>
    <w:p w:rsidR="007E360C" w:rsidRPr="00496FD7" w:rsidRDefault="007E360C" w:rsidP="007E360C">
      <w:pPr>
        <w:pStyle w:val="Style3"/>
      </w:pPr>
      <w:bookmarkStart w:id="128" w:name="_Toc431992187"/>
      <w:bookmarkStart w:id="129" w:name="_Toc432165919"/>
      <w:bookmarkStart w:id="130" w:name="_Toc479775650"/>
      <w:bookmarkEnd w:id="128"/>
      <w:bookmarkEnd w:id="129"/>
      <w:r w:rsidRPr="00496FD7">
        <w:t>Проверка за допустимост</w:t>
      </w:r>
      <w:bookmarkEnd w:id="130"/>
    </w:p>
    <w:p w:rsidR="007E360C" w:rsidRPr="00496FD7" w:rsidRDefault="007E360C" w:rsidP="007E360C">
      <w:pPr>
        <w:spacing w:after="120"/>
        <w:rPr>
          <w:szCs w:val="24"/>
          <w:lang w:eastAsia="bg-BG"/>
        </w:rPr>
      </w:pPr>
      <w:r w:rsidRPr="00496FD7">
        <w:rPr>
          <w:szCs w:val="24"/>
          <w:lang w:eastAsia="bg-BG"/>
        </w:rPr>
        <w:t>След проверката за административното съответствие на проектното предложение, членовете на оценителната комисия извършва</w:t>
      </w:r>
      <w:r w:rsidR="0011729F" w:rsidRPr="00496FD7">
        <w:rPr>
          <w:szCs w:val="24"/>
          <w:lang w:eastAsia="bg-BG"/>
        </w:rPr>
        <w:t>т</w:t>
      </w:r>
      <w:r w:rsidRPr="00496FD7">
        <w:rPr>
          <w:szCs w:val="24"/>
          <w:lang w:eastAsia="bg-BG"/>
        </w:rPr>
        <w:t xml:space="preserve"> проверка за допустимост, като отразяват оценката в ИСУН 2020. </w:t>
      </w:r>
    </w:p>
    <w:p w:rsidR="007E360C" w:rsidRPr="00496FD7" w:rsidRDefault="007E360C" w:rsidP="007E360C">
      <w:pPr>
        <w:contextualSpacing/>
        <w:rPr>
          <w:szCs w:val="24"/>
          <w:lang w:eastAsia="bg-BG"/>
        </w:rPr>
      </w:pPr>
      <w:r w:rsidRPr="00496FD7">
        <w:rPr>
          <w:szCs w:val="24"/>
          <w:lang w:eastAsia="bg-BG"/>
        </w:rPr>
        <w:t xml:space="preserve">Проверка за допустимост на проектното предложение се прилага при оценката на всички подадени проектни предложения Проверката за допустимост е важен етап от оценката на проекта. Отговорите на въпросите за допустимост са или „да” или „не”. Ако проектното предложение или всички дейности, включени в проектното предложение е/са недопустимо/и, то проектното предложение не се процедира за по-нататъшна оценка (не преминава). </w:t>
      </w:r>
    </w:p>
    <w:p w:rsidR="007E360C" w:rsidRPr="00496FD7" w:rsidRDefault="007E360C" w:rsidP="007E360C">
      <w:pPr>
        <w:contextualSpacing/>
        <w:rPr>
          <w:szCs w:val="24"/>
          <w:lang w:eastAsia="bg-BG"/>
        </w:rPr>
      </w:pPr>
      <w:r w:rsidRPr="00496FD7">
        <w:rPr>
          <w:szCs w:val="24"/>
          <w:lang w:eastAsia="bg-BG"/>
        </w:rPr>
        <w:t xml:space="preserve">В случай, че оценителната комисия установи, че само определени елементи от предложените разходи по проекта са недопустими, те трябва, конкретно да се посочат и да се изключат от безвъзмездната финансова помощ. Недопустими разходи не трябва да се включват в безвъзмездната финансова помощ, която оценителната комисия предлага да бъде отпусната след одобрението на проекта. </w:t>
      </w:r>
    </w:p>
    <w:p w:rsidR="007E360C" w:rsidRPr="00496FD7" w:rsidRDefault="007E360C" w:rsidP="007E360C">
      <w:pPr>
        <w:spacing w:after="120"/>
        <w:rPr>
          <w:szCs w:val="24"/>
          <w:lang w:eastAsia="bg-BG"/>
        </w:rPr>
      </w:pPr>
      <w:r w:rsidRPr="00496FD7">
        <w:rPr>
          <w:szCs w:val="24"/>
          <w:lang w:eastAsia="bg-BG"/>
        </w:rPr>
        <w:t xml:space="preserve">Проверката протича в съответствие с ПМС № </w:t>
      </w:r>
      <w:r w:rsidR="0011729F" w:rsidRPr="00496FD7">
        <w:rPr>
          <w:szCs w:val="24"/>
          <w:lang w:eastAsia="bg-BG"/>
        </w:rPr>
        <w:t>86 от 2023</w:t>
      </w:r>
      <w:r w:rsidRPr="00496FD7">
        <w:rPr>
          <w:szCs w:val="24"/>
          <w:lang w:eastAsia="bg-BG"/>
        </w:rPr>
        <w:t xml:space="preserve"> г.</w:t>
      </w:r>
      <w:r w:rsidR="00684DED" w:rsidRPr="00496FD7">
        <w:rPr>
          <w:szCs w:val="24"/>
          <w:lang w:eastAsia="bg-BG"/>
        </w:rPr>
        <w:t xml:space="preserve"> и одобрените от КН на ПТС критерии за оценка</w:t>
      </w:r>
      <w:r w:rsidRPr="00496FD7">
        <w:rPr>
          <w:szCs w:val="24"/>
          <w:lang w:eastAsia="bg-BG"/>
        </w:rPr>
        <w:t>, като при извършване на проверката за допустимост:</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t xml:space="preserve">се проверява дали проектното предложение  попада в обхвата на съответния фонд – ЕФРР/КФ и може да бъде включено в категория интервенции, заложените инвестиционни приоритети в </w:t>
      </w:r>
      <w:r w:rsidR="00BC2BDA" w:rsidRPr="00496FD7">
        <w:rPr>
          <w:szCs w:val="24"/>
          <w:lang w:eastAsia="bg-BG"/>
        </w:rPr>
        <w:t>ПТС</w:t>
      </w:r>
      <w:r w:rsidRPr="00496FD7">
        <w:rPr>
          <w:szCs w:val="24"/>
          <w:lang w:eastAsia="bg-BG"/>
        </w:rPr>
        <w:t>;</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t>Проектът допринася за постигане на специфичната цел на съответн</w:t>
      </w:r>
      <w:r w:rsidR="00BC2BDA" w:rsidRPr="00496FD7">
        <w:rPr>
          <w:szCs w:val="24"/>
          <w:lang w:eastAsia="bg-BG"/>
        </w:rPr>
        <w:t>ия</w:t>
      </w:r>
      <w:r w:rsidRPr="00496FD7">
        <w:rPr>
          <w:szCs w:val="24"/>
          <w:lang w:eastAsia="bg-BG"/>
        </w:rPr>
        <w:t xml:space="preserve"> </w:t>
      </w:r>
      <w:r w:rsidR="00BC2BDA" w:rsidRPr="00496FD7">
        <w:rPr>
          <w:szCs w:val="24"/>
          <w:lang w:eastAsia="bg-BG"/>
        </w:rPr>
        <w:t>приоритет</w:t>
      </w:r>
      <w:r w:rsidRPr="00496FD7">
        <w:rPr>
          <w:szCs w:val="24"/>
          <w:lang w:eastAsia="bg-BG"/>
        </w:rPr>
        <w:t xml:space="preserve">, </w:t>
      </w:r>
    </w:p>
    <w:p w:rsidR="007E360C" w:rsidRPr="00496FD7" w:rsidRDefault="007E360C" w:rsidP="00BC2BDA">
      <w:pPr>
        <w:numPr>
          <w:ilvl w:val="0"/>
          <w:numId w:val="12"/>
        </w:numPr>
        <w:tabs>
          <w:tab w:val="clear" w:pos="720"/>
          <w:tab w:val="num" w:pos="1134"/>
        </w:tabs>
        <w:spacing w:after="120"/>
        <w:ind w:left="0" w:firstLine="851"/>
        <w:rPr>
          <w:szCs w:val="24"/>
          <w:lang w:eastAsia="bg-BG"/>
        </w:rPr>
      </w:pPr>
      <w:r w:rsidRPr="00496FD7">
        <w:rPr>
          <w:szCs w:val="24"/>
          <w:lang w:eastAsia="bg-BG"/>
        </w:rPr>
        <w:t xml:space="preserve">Проектното предложение показва необходимост от финансова подкрепа  </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t xml:space="preserve">се обръща внимание на необходимостта от връзка и съответствие с основните стратегически, програмни и приложни документи, регламенти, наръчници и стратегии на Общностно и на национално ниво. </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t xml:space="preserve">се проверява дали проектът допринася за постигане на една или повече от целите и приоритетите, заложени в </w:t>
      </w:r>
      <w:r w:rsidR="00BC2BDA" w:rsidRPr="00496FD7">
        <w:rPr>
          <w:szCs w:val="24"/>
          <w:lang w:eastAsia="bg-BG"/>
        </w:rPr>
        <w:t>основни стратегически документи</w:t>
      </w:r>
      <w:r w:rsidRPr="00496FD7">
        <w:rPr>
          <w:szCs w:val="24"/>
          <w:lang w:eastAsia="bg-BG"/>
        </w:rPr>
        <w:t>;</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t>се проверява дали проектът допринася за постигане на една или повече от целите на ПТС;</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t>проверяват се степента на релевантност на проекта по отношение на прилаганите хоризонтални принципи и политики, наличието на принос за постигане на специфичните цели на съответн</w:t>
      </w:r>
      <w:r w:rsidR="00BC2BDA" w:rsidRPr="00496FD7">
        <w:rPr>
          <w:szCs w:val="24"/>
          <w:lang w:eastAsia="bg-BG"/>
        </w:rPr>
        <w:t>ия</w:t>
      </w:r>
      <w:r w:rsidRPr="00496FD7">
        <w:rPr>
          <w:szCs w:val="24"/>
          <w:lang w:eastAsia="bg-BG"/>
        </w:rPr>
        <w:t xml:space="preserve"> </w:t>
      </w:r>
      <w:r w:rsidR="00BC2BDA" w:rsidRPr="00496FD7">
        <w:rPr>
          <w:szCs w:val="24"/>
          <w:lang w:eastAsia="bg-BG"/>
        </w:rPr>
        <w:t>приоритет</w:t>
      </w:r>
      <w:r w:rsidRPr="00496FD7">
        <w:rPr>
          <w:szCs w:val="24"/>
          <w:lang w:eastAsia="bg-BG"/>
        </w:rPr>
        <w:t xml:space="preserve">. </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t>Проверява се дали дейностите по проекта съответстват на дейностите, предвидени в съответн</w:t>
      </w:r>
      <w:r w:rsidR="00BC2BDA" w:rsidRPr="00496FD7">
        <w:rPr>
          <w:szCs w:val="24"/>
          <w:lang w:eastAsia="bg-BG"/>
        </w:rPr>
        <w:t>ия</w:t>
      </w:r>
      <w:r w:rsidRPr="00496FD7">
        <w:rPr>
          <w:szCs w:val="24"/>
          <w:lang w:eastAsia="bg-BG"/>
        </w:rPr>
        <w:t xml:space="preserve"> </w:t>
      </w:r>
      <w:r w:rsidR="00E30976" w:rsidRPr="00496FD7">
        <w:rPr>
          <w:szCs w:val="24"/>
          <w:lang w:eastAsia="bg-BG"/>
        </w:rPr>
        <w:t>приоритет</w:t>
      </w:r>
      <w:r w:rsidR="00BC2BDA" w:rsidRPr="00496FD7">
        <w:rPr>
          <w:szCs w:val="24"/>
          <w:lang w:eastAsia="bg-BG"/>
        </w:rPr>
        <w:t xml:space="preserve"> </w:t>
      </w:r>
      <w:r w:rsidRPr="00496FD7">
        <w:rPr>
          <w:szCs w:val="24"/>
          <w:lang w:eastAsia="bg-BG"/>
        </w:rPr>
        <w:t>на ПТС;</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t>ФК за предоставяне на БФП е подаден от бенефициент, който е посочен в ПТС като конкретен бенефициент на помощта по съответн</w:t>
      </w:r>
      <w:r w:rsidR="00BC2BDA" w:rsidRPr="00496FD7">
        <w:rPr>
          <w:szCs w:val="24"/>
          <w:lang w:eastAsia="bg-BG"/>
        </w:rPr>
        <w:t>ия</w:t>
      </w:r>
      <w:r w:rsidRPr="00496FD7">
        <w:rPr>
          <w:szCs w:val="24"/>
          <w:lang w:eastAsia="bg-BG"/>
        </w:rPr>
        <w:t xml:space="preserve"> </w:t>
      </w:r>
      <w:r w:rsidR="00BC2BDA" w:rsidRPr="00496FD7">
        <w:rPr>
          <w:szCs w:val="24"/>
          <w:lang w:eastAsia="bg-BG"/>
        </w:rPr>
        <w:t>приоритет</w:t>
      </w:r>
      <w:r w:rsidRPr="00496FD7">
        <w:rPr>
          <w:szCs w:val="24"/>
          <w:lang w:eastAsia="bg-BG"/>
        </w:rPr>
        <w:t>;</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t xml:space="preserve">Търси се наличие на европейска добавена стойност и доказана необходимост от публична финансова подкрепа. </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lastRenderedPageBreak/>
        <w:t xml:space="preserve">Допустимите разходи за проекта са определени в съответствие с актуалната националната нормативна уредба. </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t>проверява се дали информацията във формуляра за кандидатстване показва, че всички дейности по проекта не са физически приключили и не са изцяло изпълнени преди подаване на ФК;</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t>Във ФК е декларирано, че дейностите не са финансирани/ не се финансират по друг проект, програма или каквато и да е друга схема с източник националния бюджет, бюджета на ЕС или друга донорска програма;</w:t>
      </w:r>
    </w:p>
    <w:p w:rsidR="007E360C" w:rsidRPr="00496FD7" w:rsidRDefault="007E360C" w:rsidP="00E80472">
      <w:pPr>
        <w:numPr>
          <w:ilvl w:val="0"/>
          <w:numId w:val="12"/>
        </w:numPr>
        <w:tabs>
          <w:tab w:val="clear" w:pos="720"/>
          <w:tab w:val="num" w:pos="1134"/>
        </w:tabs>
        <w:spacing w:after="120"/>
        <w:ind w:left="0" w:firstLine="851"/>
        <w:rPr>
          <w:b/>
          <w:szCs w:val="24"/>
          <w:lang w:eastAsia="bg-BG"/>
        </w:rPr>
      </w:pPr>
      <w:r w:rsidRPr="00496FD7">
        <w:rPr>
          <w:szCs w:val="24"/>
          <w:lang w:eastAsia="bg-BG"/>
        </w:rPr>
        <w:t xml:space="preserve">В случай, че всички изисквания са изцяло удовлетворени, се преминава към следващия втори етап – техническа и финансова оценка на предложението, като членовете на оценителната комисия отразяват оценката в ИСУН 2020. </w:t>
      </w:r>
      <w:r w:rsidRPr="00496FD7">
        <w:rPr>
          <w:b/>
          <w:szCs w:val="24"/>
          <w:lang w:eastAsia="bg-BG"/>
        </w:rPr>
        <w:tab/>
      </w:r>
    </w:p>
    <w:p w:rsidR="007E360C" w:rsidRPr="002E5C93" w:rsidRDefault="007E360C" w:rsidP="007E360C">
      <w:pPr>
        <w:pStyle w:val="Style3"/>
        <w:rPr>
          <w:lang w:val="bg-BG" w:eastAsia="bg-BG"/>
        </w:rPr>
      </w:pPr>
      <w:bookmarkStart w:id="131" w:name="_Toc479775651"/>
      <w:r w:rsidRPr="002E5C93">
        <w:rPr>
          <w:lang w:val="bg-BG" w:eastAsia="bg-BG"/>
        </w:rPr>
        <w:t>Техническа и финансова оценка</w:t>
      </w:r>
      <w:bookmarkEnd w:id="131"/>
    </w:p>
    <w:p w:rsidR="00CA5ACA" w:rsidRPr="00AB50FC" w:rsidRDefault="007E360C" w:rsidP="007E360C">
      <w:pPr>
        <w:spacing w:after="120"/>
        <w:rPr>
          <w:szCs w:val="24"/>
          <w:lang w:val="en-US" w:eastAsia="bg-BG"/>
        </w:rPr>
      </w:pPr>
      <w:r w:rsidRPr="002E5C93">
        <w:rPr>
          <w:szCs w:val="24"/>
          <w:lang w:eastAsia="bg-BG"/>
        </w:rPr>
        <w:t>Този етап включва детайлна техническа и финансова оценка на проектното предложение</w:t>
      </w:r>
      <w:r w:rsidR="00684DED" w:rsidRPr="002E5C93">
        <w:rPr>
          <w:szCs w:val="24"/>
          <w:lang w:eastAsia="bg-BG"/>
        </w:rPr>
        <w:t xml:space="preserve"> в съответствие с одобрените от КН на ПТС критерии за оценка</w:t>
      </w:r>
      <w:r w:rsidRPr="002E5C93">
        <w:rPr>
          <w:szCs w:val="24"/>
          <w:lang w:eastAsia="bg-BG"/>
        </w:rPr>
        <w:t>.</w:t>
      </w:r>
      <w:r w:rsidR="00CA5ACA" w:rsidRPr="002E5C93">
        <w:rPr>
          <w:szCs w:val="24"/>
          <w:lang w:eastAsia="bg-BG"/>
        </w:rPr>
        <w:t xml:space="preserve"> Извършва се подробна оценка </w:t>
      </w:r>
      <w:r w:rsidR="001A3392">
        <w:rPr>
          <w:szCs w:val="24"/>
          <w:lang w:eastAsia="bg-BG"/>
        </w:rPr>
        <w:t xml:space="preserve">в съответствие с подробните въпроси в </w:t>
      </w:r>
      <w:hyperlink r:id="rId36" w:history="1">
        <w:r w:rsidR="001A3392" w:rsidRPr="00CA3AC4">
          <w:rPr>
            <w:rStyle w:val="Hyperlink"/>
            <w:szCs w:val="24"/>
            <w:lang w:eastAsia="bg-BG"/>
          </w:rPr>
          <w:t>Приложение № 3.03.8</w:t>
        </w:r>
      </w:hyperlink>
      <w:r w:rsidR="001A3392">
        <w:rPr>
          <w:szCs w:val="24"/>
          <w:lang w:eastAsia="bg-BG"/>
        </w:rPr>
        <w:t xml:space="preserve">: </w:t>
      </w:r>
      <w:r w:rsidR="00CA5ACA" w:rsidRPr="002E5C93">
        <w:rPr>
          <w:szCs w:val="24"/>
          <w:lang w:eastAsia="bg-BG"/>
        </w:rPr>
        <w:t xml:space="preserve">на АРП, представеното сравнение на вариантите, </w:t>
      </w:r>
      <w:r w:rsidR="00CA5ACA" w:rsidRPr="002E5C93">
        <w:t xml:space="preserve">устойчивост към изменение на климата, </w:t>
      </w:r>
      <w:r w:rsidR="006A2875" w:rsidRPr="002E5C93">
        <w:t>качествен анализ на риска, модел на търсенето, оценка на въздействието върху околната среда, приложение на принципа за ненанасяне на значителна вреда, пътна безопасност (когато е приложимо)</w:t>
      </w:r>
      <w:r w:rsidR="002E5C93">
        <w:t xml:space="preserve">, </w:t>
      </w:r>
      <w:r w:rsidR="002E5C93">
        <w:rPr>
          <w:lang w:val="en-US"/>
        </w:rPr>
        <w:t>DNSH</w:t>
      </w:r>
      <w:r w:rsidR="006A2875" w:rsidRPr="002E5C93">
        <w:t>.</w:t>
      </w:r>
      <w:r w:rsidR="000D4F66" w:rsidRPr="002E5C93">
        <w:t xml:space="preserve"> Проверява се декларираното от бенефициента в попълнените въпросници за самооценка, приложени към насоките по процедурите</w:t>
      </w:r>
      <w:r w:rsidR="001A3392">
        <w:rPr>
          <w:lang w:val="en-US"/>
        </w:rPr>
        <w:t xml:space="preserve"> – </w:t>
      </w:r>
      <w:r w:rsidR="001A3392">
        <w:t>доколко са обосновани заключенията по поставените въпроси, качество на попълнената информация и на представените данни</w:t>
      </w:r>
      <w:r w:rsidR="000D4F66" w:rsidRPr="002E5C93">
        <w:t>.</w:t>
      </w:r>
      <w:r w:rsidR="00AB50FC">
        <w:t xml:space="preserve"> В случай на отговори във въпросниците само с „да“, „Отговаря на изискването“, „съответства на критерия“ и други подобни отговори без конкретика въпросниците се връщат за ревизиране от кандидата. Особено внимание се обръща на въпросниците за климатична устойчивост и за </w:t>
      </w:r>
      <w:r w:rsidR="00AB50FC">
        <w:rPr>
          <w:lang w:val="en-US"/>
        </w:rPr>
        <w:t>DNSH.</w:t>
      </w:r>
    </w:p>
    <w:p w:rsidR="007E360C" w:rsidRPr="002E5C93" w:rsidRDefault="007E360C" w:rsidP="007E360C">
      <w:pPr>
        <w:spacing w:after="120"/>
        <w:rPr>
          <w:szCs w:val="24"/>
          <w:lang w:eastAsia="bg-BG"/>
        </w:rPr>
      </w:pPr>
      <w:r w:rsidRPr="002E5C93">
        <w:rPr>
          <w:szCs w:val="24"/>
          <w:lang w:eastAsia="bg-BG"/>
        </w:rPr>
        <w:t>Най-значимият елемент на оценката на проекта е техническата оценка. Основен аналитичен инструмент, който ще бъде използван при оценката за вземане на решение за финансиране на „</w:t>
      </w:r>
      <w:r w:rsidR="00E51D6E" w:rsidRPr="002E5C93">
        <w:rPr>
          <w:szCs w:val="24"/>
          <w:lang w:eastAsia="bg-BG"/>
        </w:rPr>
        <w:t>инвестиционен</w:t>
      </w:r>
      <w:r w:rsidRPr="002E5C93">
        <w:rPr>
          <w:szCs w:val="24"/>
          <w:lang w:eastAsia="bg-BG"/>
        </w:rPr>
        <w:t xml:space="preserve"> прое</w:t>
      </w:r>
      <w:r w:rsidR="00AB50FC">
        <w:rPr>
          <w:szCs w:val="24"/>
          <w:lang w:eastAsia="bg-BG"/>
        </w:rPr>
        <w:t xml:space="preserve">кт“ </w:t>
      </w:r>
      <w:r w:rsidR="00BC2BDA" w:rsidRPr="002E5C93">
        <w:rPr>
          <w:szCs w:val="24"/>
          <w:lang w:eastAsia="bg-BG"/>
        </w:rPr>
        <w:t>е Анализа „разходи-ползи“</w:t>
      </w:r>
      <w:r w:rsidR="00AB50FC">
        <w:rPr>
          <w:szCs w:val="24"/>
          <w:lang w:eastAsia="bg-BG"/>
        </w:rPr>
        <w:t>, като тази практика продължава от програмен период 2014-2020 г</w:t>
      </w:r>
      <w:r w:rsidR="00BC2BDA" w:rsidRPr="002E5C93">
        <w:rPr>
          <w:szCs w:val="24"/>
          <w:lang w:eastAsia="bg-BG"/>
        </w:rPr>
        <w:t>.</w:t>
      </w:r>
      <w:r w:rsidR="001A3392">
        <w:rPr>
          <w:szCs w:val="24"/>
          <w:lang w:eastAsia="bg-BG"/>
        </w:rPr>
        <w:t xml:space="preserve"> Използват се подробните въпроси от Приложение № 3.03.8 - </w:t>
      </w:r>
      <w:r w:rsidR="001A3392" w:rsidRPr="001A3392">
        <w:rPr>
          <w:szCs w:val="24"/>
          <w:lang w:eastAsia="bg-BG"/>
        </w:rPr>
        <w:t>Приложение 1 – анализ разходи-ползи</w:t>
      </w:r>
      <w:r w:rsidR="00AB50FC">
        <w:rPr>
          <w:szCs w:val="24"/>
          <w:lang w:eastAsia="bg-BG"/>
        </w:rPr>
        <w:t>, като на всеки от въпросите следва в проекта да има обоснован отговор. При липса на съответствие на кандидата се изпращат бележки през модул комуникация, до отстраняване на несъответствието.</w:t>
      </w:r>
    </w:p>
    <w:p w:rsidR="00BC2BDA" w:rsidRPr="00496FD7" w:rsidRDefault="00BC2BDA" w:rsidP="007E360C">
      <w:pPr>
        <w:spacing w:after="120"/>
        <w:rPr>
          <w:szCs w:val="24"/>
          <w:lang w:eastAsia="bg-BG"/>
        </w:rPr>
      </w:pPr>
    </w:p>
    <w:p w:rsidR="007E360C" w:rsidRPr="00496FD7" w:rsidRDefault="007E360C" w:rsidP="00E80472">
      <w:pPr>
        <w:pStyle w:val="ListParagraph"/>
        <w:numPr>
          <w:ilvl w:val="0"/>
          <w:numId w:val="31"/>
        </w:numPr>
        <w:tabs>
          <w:tab w:val="left" w:pos="1134"/>
        </w:tabs>
        <w:spacing w:after="120"/>
        <w:ind w:left="0" w:firstLine="851"/>
        <w:rPr>
          <w:b/>
          <w:szCs w:val="24"/>
          <w:lang w:eastAsia="bg-BG"/>
        </w:rPr>
      </w:pPr>
      <w:r w:rsidRPr="00496FD7">
        <w:rPr>
          <w:b/>
          <w:szCs w:val="24"/>
          <w:lang w:eastAsia="bg-BG"/>
        </w:rPr>
        <w:t>Общи принципи на АРП</w:t>
      </w:r>
    </w:p>
    <w:p w:rsidR="007E360C" w:rsidRPr="00496FD7" w:rsidRDefault="007E360C" w:rsidP="007E360C">
      <w:pPr>
        <w:spacing w:after="120"/>
        <w:rPr>
          <w:szCs w:val="24"/>
          <w:lang w:eastAsia="bg-BG"/>
        </w:rPr>
      </w:pPr>
      <w:r w:rsidRPr="00496FD7">
        <w:rPr>
          <w:szCs w:val="24"/>
          <w:lang w:eastAsia="bg-BG"/>
        </w:rPr>
        <w:t>Целта на анализа на разходите и ползите (наричан по-долу „АРП“) в контекста на политиката на сближаване е да допринесе за оценяването на големи проекти, за да се:</w:t>
      </w:r>
    </w:p>
    <w:p w:rsidR="007E360C" w:rsidRPr="00496FD7" w:rsidRDefault="007E360C" w:rsidP="007E360C">
      <w:pPr>
        <w:rPr>
          <w:szCs w:val="24"/>
          <w:lang w:eastAsia="bg-BG"/>
        </w:rPr>
      </w:pPr>
      <w:r w:rsidRPr="00496FD7">
        <w:rPr>
          <w:szCs w:val="24"/>
          <w:lang w:eastAsia="bg-BG"/>
        </w:rPr>
        <w:t xml:space="preserve">— определи дали </w:t>
      </w:r>
      <w:r w:rsidR="00BC2BDA" w:rsidRPr="00496FD7">
        <w:rPr>
          <w:szCs w:val="24"/>
          <w:lang w:eastAsia="bg-BG"/>
        </w:rPr>
        <w:t>инвестиционният проект</w:t>
      </w:r>
      <w:r w:rsidRPr="00496FD7">
        <w:rPr>
          <w:szCs w:val="24"/>
          <w:lang w:eastAsia="bg-BG"/>
        </w:rPr>
        <w:t xml:space="preserve"> заслужава да бъде съфинансиран (от икономическа гледна точка);</w:t>
      </w:r>
    </w:p>
    <w:p w:rsidR="007E360C" w:rsidRPr="00496FD7" w:rsidRDefault="007E360C" w:rsidP="007E360C">
      <w:pPr>
        <w:rPr>
          <w:szCs w:val="24"/>
          <w:lang w:eastAsia="bg-BG"/>
        </w:rPr>
      </w:pPr>
      <w:r w:rsidRPr="00496FD7">
        <w:rPr>
          <w:szCs w:val="24"/>
          <w:lang w:eastAsia="bg-BG"/>
        </w:rPr>
        <w:t xml:space="preserve">— определи дали </w:t>
      </w:r>
      <w:r w:rsidR="00BC2BDA" w:rsidRPr="00496FD7">
        <w:rPr>
          <w:szCs w:val="24"/>
          <w:lang w:eastAsia="bg-BG"/>
        </w:rPr>
        <w:t>инвестиционният проект</w:t>
      </w:r>
      <w:r w:rsidRPr="00496FD7">
        <w:rPr>
          <w:szCs w:val="24"/>
          <w:lang w:eastAsia="bg-BG"/>
        </w:rPr>
        <w:t xml:space="preserve"> се нуждае от съфинансиране (от финансова гледна точка).</w:t>
      </w:r>
    </w:p>
    <w:p w:rsidR="007E360C" w:rsidRPr="00496FD7" w:rsidRDefault="007E360C" w:rsidP="00E80472">
      <w:pPr>
        <w:pStyle w:val="ListParagraph"/>
        <w:numPr>
          <w:ilvl w:val="0"/>
          <w:numId w:val="31"/>
        </w:numPr>
        <w:tabs>
          <w:tab w:val="left" w:pos="1134"/>
        </w:tabs>
        <w:spacing w:before="120" w:after="120"/>
        <w:ind w:left="0" w:firstLine="851"/>
        <w:rPr>
          <w:b/>
          <w:szCs w:val="24"/>
          <w:lang w:eastAsia="bg-BG"/>
        </w:rPr>
      </w:pPr>
      <w:r w:rsidRPr="00496FD7">
        <w:rPr>
          <w:b/>
          <w:szCs w:val="24"/>
          <w:lang w:eastAsia="bg-BG"/>
        </w:rPr>
        <w:t>АРП:</w:t>
      </w:r>
    </w:p>
    <w:p w:rsidR="007E360C" w:rsidRPr="00496FD7" w:rsidRDefault="007E360C" w:rsidP="007E360C">
      <w:pPr>
        <w:rPr>
          <w:szCs w:val="24"/>
          <w:lang w:eastAsia="bg-BG"/>
        </w:rPr>
      </w:pPr>
      <w:r w:rsidRPr="00496FD7">
        <w:rPr>
          <w:szCs w:val="24"/>
          <w:lang w:eastAsia="bg-BG"/>
        </w:rPr>
        <w:lastRenderedPageBreak/>
        <w:t>— се извършва възможно най-рано на етапа на изготвяне на проекта, обикновено в края на предварителния етап на проектиране на проекта;</w:t>
      </w:r>
    </w:p>
    <w:p w:rsidR="007E360C" w:rsidRPr="00496FD7" w:rsidRDefault="007E360C" w:rsidP="007E360C">
      <w:pPr>
        <w:rPr>
          <w:szCs w:val="24"/>
          <w:lang w:eastAsia="bg-BG"/>
        </w:rPr>
      </w:pPr>
      <w:r w:rsidRPr="00496FD7">
        <w:rPr>
          <w:szCs w:val="24"/>
          <w:lang w:eastAsia="bg-BG"/>
        </w:rPr>
        <w:t xml:space="preserve">— се счита за елемент от заявлението за </w:t>
      </w:r>
      <w:r w:rsidR="00E51D6E" w:rsidRPr="00496FD7">
        <w:rPr>
          <w:szCs w:val="24"/>
          <w:lang w:eastAsia="bg-BG"/>
        </w:rPr>
        <w:t>инвестиционен</w:t>
      </w:r>
      <w:r w:rsidRPr="00496FD7">
        <w:rPr>
          <w:szCs w:val="24"/>
          <w:lang w:eastAsia="bg-BG"/>
        </w:rPr>
        <w:t xml:space="preserve"> проект, който трябва да бъде взет под внимание в съчетание с други документи, изготвяни във връзка с </w:t>
      </w:r>
      <w:r w:rsidR="00BC2BDA" w:rsidRPr="00496FD7">
        <w:rPr>
          <w:szCs w:val="24"/>
          <w:lang w:eastAsia="bg-BG"/>
        </w:rPr>
        <w:t>инвестиционните проекти</w:t>
      </w:r>
      <w:r w:rsidRPr="00496FD7">
        <w:rPr>
          <w:szCs w:val="24"/>
          <w:lang w:eastAsia="bg-BG"/>
        </w:rPr>
        <w:t>.</w:t>
      </w:r>
    </w:p>
    <w:p w:rsidR="007E360C" w:rsidRPr="00496FD7" w:rsidRDefault="007E360C" w:rsidP="00E80472">
      <w:pPr>
        <w:pStyle w:val="ListParagraph"/>
        <w:numPr>
          <w:ilvl w:val="0"/>
          <w:numId w:val="31"/>
        </w:numPr>
        <w:tabs>
          <w:tab w:val="left" w:pos="1134"/>
        </w:tabs>
        <w:spacing w:after="120"/>
        <w:ind w:left="0" w:firstLine="851"/>
        <w:rPr>
          <w:b/>
          <w:szCs w:val="24"/>
          <w:lang w:eastAsia="bg-BG"/>
        </w:rPr>
      </w:pPr>
      <w:r w:rsidRPr="00496FD7">
        <w:rPr>
          <w:b/>
          <w:szCs w:val="24"/>
          <w:lang w:eastAsia="bg-BG"/>
        </w:rPr>
        <w:t>АРП е подчинен на следните принципи:</w:t>
      </w:r>
    </w:p>
    <w:p w:rsidR="007E360C" w:rsidRPr="00496FD7" w:rsidRDefault="007E360C" w:rsidP="007E360C">
      <w:pPr>
        <w:rPr>
          <w:szCs w:val="24"/>
          <w:lang w:eastAsia="bg-BG"/>
        </w:rPr>
      </w:pPr>
      <w:r w:rsidRPr="00496FD7">
        <w:rPr>
          <w:szCs w:val="24"/>
          <w:lang w:eastAsia="bg-BG"/>
        </w:rPr>
        <w:t>— АРП трябва да се извършва с оглед на предварително определените цели на политиката;</w:t>
      </w:r>
    </w:p>
    <w:p w:rsidR="007E360C" w:rsidRPr="00496FD7" w:rsidRDefault="007E360C" w:rsidP="007E360C">
      <w:pPr>
        <w:rPr>
          <w:szCs w:val="24"/>
          <w:lang w:eastAsia="bg-BG"/>
        </w:rPr>
      </w:pPr>
      <w:r w:rsidRPr="00496FD7">
        <w:rPr>
          <w:szCs w:val="24"/>
          <w:lang w:eastAsia="bg-BG"/>
        </w:rPr>
        <w:t>— АРП изисква да се определи съответният социален контекст и гледни точки (местни, регионални, национални, трансгранични, глобални);</w:t>
      </w:r>
    </w:p>
    <w:p w:rsidR="007E360C" w:rsidRPr="00496FD7" w:rsidRDefault="007E360C" w:rsidP="007E360C">
      <w:pPr>
        <w:rPr>
          <w:szCs w:val="24"/>
          <w:lang w:eastAsia="bg-BG"/>
        </w:rPr>
      </w:pPr>
      <w:r w:rsidRPr="00496FD7">
        <w:rPr>
          <w:szCs w:val="24"/>
          <w:lang w:eastAsia="bg-BG"/>
        </w:rPr>
        <w:t>— АРП изисква единна мерна единица (обикновено парична);</w:t>
      </w:r>
    </w:p>
    <w:p w:rsidR="007E360C" w:rsidRPr="00496FD7" w:rsidRDefault="007E360C" w:rsidP="007E360C">
      <w:pPr>
        <w:rPr>
          <w:szCs w:val="24"/>
          <w:lang w:eastAsia="bg-BG"/>
        </w:rPr>
      </w:pPr>
      <w:r w:rsidRPr="00496FD7">
        <w:rPr>
          <w:szCs w:val="24"/>
          <w:lang w:eastAsia="bg-BG"/>
        </w:rPr>
        <w:t>— АРП изисква сравняване на сценария за новите инвестиции със сценарии без нова инвестиция (допълнителен анализ (1));</w:t>
      </w:r>
    </w:p>
    <w:p w:rsidR="007E360C" w:rsidRPr="00496FD7" w:rsidRDefault="007E360C" w:rsidP="007E360C">
      <w:pPr>
        <w:rPr>
          <w:szCs w:val="24"/>
          <w:lang w:eastAsia="bg-BG"/>
        </w:rPr>
      </w:pPr>
      <w:r w:rsidRPr="00496FD7">
        <w:rPr>
          <w:szCs w:val="24"/>
          <w:lang w:eastAsia="bg-BG"/>
        </w:rPr>
        <w:t>— АРП изисква да се посочва референтен период, за който се отнася проектът;</w:t>
      </w:r>
    </w:p>
    <w:p w:rsidR="007E360C" w:rsidRPr="00496FD7" w:rsidRDefault="007E360C" w:rsidP="007E360C">
      <w:pPr>
        <w:rPr>
          <w:szCs w:val="24"/>
          <w:lang w:eastAsia="bg-BG"/>
        </w:rPr>
      </w:pPr>
      <w:r w:rsidRPr="00496FD7">
        <w:rPr>
          <w:szCs w:val="24"/>
          <w:lang w:eastAsia="bg-BG"/>
        </w:rPr>
        <w:t>— АРП изисква да се държи сметка за остатъчните стойности на инвестицията;</w:t>
      </w:r>
    </w:p>
    <w:p w:rsidR="007E360C" w:rsidRPr="00496FD7" w:rsidRDefault="007E360C" w:rsidP="007E360C">
      <w:pPr>
        <w:rPr>
          <w:b/>
          <w:szCs w:val="24"/>
          <w:lang w:eastAsia="bg-BG"/>
        </w:rPr>
      </w:pPr>
      <w:r w:rsidRPr="00496FD7">
        <w:rPr>
          <w:szCs w:val="24"/>
          <w:lang w:eastAsia="bg-BG"/>
        </w:rPr>
        <w:t>— АРП изисква оценка на риска за справяне с несигурността.</w:t>
      </w:r>
      <w:r w:rsidRPr="00496FD7">
        <w:rPr>
          <w:b/>
          <w:szCs w:val="24"/>
          <w:lang w:eastAsia="bg-BG"/>
        </w:rPr>
        <w:br w:type="page"/>
      </w:r>
    </w:p>
    <w:p w:rsidR="007E360C" w:rsidRPr="00496FD7" w:rsidRDefault="007E360C" w:rsidP="007E360C">
      <w:pPr>
        <w:pStyle w:val="ListParagraph"/>
        <w:tabs>
          <w:tab w:val="left" w:pos="1134"/>
        </w:tabs>
        <w:spacing w:before="120" w:after="120"/>
        <w:ind w:left="1134"/>
        <w:rPr>
          <w:b/>
          <w:szCs w:val="24"/>
          <w:lang w:eastAsia="bg-BG"/>
        </w:rPr>
        <w:sectPr w:rsidR="007E360C" w:rsidRPr="00496FD7" w:rsidSect="007E360C">
          <w:pgSz w:w="11906" w:h="16838"/>
          <w:pgMar w:top="1134" w:right="851" w:bottom="1134" w:left="1418" w:header="709" w:footer="709" w:gutter="0"/>
          <w:cols w:space="708"/>
          <w:docGrid w:linePitch="360"/>
        </w:sectPr>
      </w:pPr>
    </w:p>
    <w:p w:rsidR="007E360C" w:rsidRPr="00496FD7" w:rsidRDefault="007E360C" w:rsidP="007E360C">
      <w:pPr>
        <w:pStyle w:val="ListParagraph"/>
        <w:spacing w:before="120" w:after="120"/>
        <w:ind w:left="0" w:firstLine="0"/>
        <w:jc w:val="center"/>
        <w:rPr>
          <w:b/>
          <w:szCs w:val="24"/>
          <w:lang w:eastAsia="bg-BG"/>
        </w:rPr>
      </w:pPr>
      <w:r w:rsidRPr="00496FD7">
        <w:rPr>
          <w:b/>
          <w:szCs w:val="24"/>
          <w:lang w:eastAsia="bg-BG"/>
        </w:rPr>
        <w:lastRenderedPageBreak/>
        <w:t xml:space="preserve">Елементи на АРП за </w:t>
      </w:r>
      <w:r w:rsidR="00E51D6E" w:rsidRPr="00496FD7">
        <w:rPr>
          <w:b/>
          <w:szCs w:val="24"/>
          <w:lang w:eastAsia="bg-BG"/>
        </w:rPr>
        <w:t>инвестиционен</w:t>
      </w:r>
      <w:r w:rsidRPr="00496FD7">
        <w:rPr>
          <w:b/>
          <w:szCs w:val="24"/>
          <w:lang w:eastAsia="bg-BG"/>
        </w:rPr>
        <w:t xml:space="preserve"> проект</w:t>
      </w:r>
    </w:p>
    <w:p w:rsidR="007E360C" w:rsidRPr="00496FD7" w:rsidRDefault="007E360C" w:rsidP="007E360C">
      <w:pPr>
        <w:pStyle w:val="ListParagraph"/>
        <w:tabs>
          <w:tab w:val="left" w:pos="426"/>
        </w:tabs>
        <w:spacing w:before="120" w:after="120"/>
        <w:ind w:left="0" w:firstLine="0"/>
        <w:jc w:val="center"/>
        <w:rPr>
          <w:szCs w:val="24"/>
          <w:lang w:eastAsia="bg-BG"/>
        </w:rPr>
      </w:pPr>
      <w:r w:rsidRPr="00496FD7">
        <w:rPr>
          <w:noProof/>
          <w:szCs w:val="24"/>
          <w:lang w:val="en-US" w:eastAsia="en-US"/>
        </w:rPr>
        <w:drawing>
          <wp:inline distT="0" distB="0" distL="0" distR="0" wp14:anchorId="7A35C06C" wp14:editId="7B23DF79">
            <wp:extent cx="9067800" cy="4819650"/>
            <wp:effectExtent l="0" t="0" r="0" b="19050"/>
            <wp:docPr id="55" name="Diagram 1786"/>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rsidR="007E360C" w:rsidRPr="00496FD7" w:rsidRDefault="007E360C" w:rsidP="007E360C">
      <w:pPr>
        <w:spacing w:after="120"/>
        <w:ind w:firstLine="0"/>
        <w:jc w:val="center"/>
        <w:rPr>
          <w:szCs w:val="24"/>
          <w:lang w:eastAsia="bg-BG"/>
        </w:rPr>
        <w:sectPr w:rsidR="007E360C" w:rsidRPr="00496FD7" w:rsidSect="007E360C">
          <w:pgSz w:w="16838" w:h="11906" w:orient="landscape"/>
          <w:pgMar w:top="1134" w:right="1134" w:bottom="1134" w:left="1134" w:header="709" w:footer="709" w:gutter="0"/>
          <w:cols w:space="708"/>
          <w:docGrid w:linePitch="360"/>
        </w:sectPr>
      </w:pPr>
    </w:p>
    <w:p w:rsidR="007E360C" w:rsidRPr="00496FD7" w:rsidRDefault="007E360C" w:rsidP="007E360C">
      <w:pPr>
        <w:rPr>
          <w:lang w:eastAsia="bg-BG"/>
        </w:rPr>
      </w:pPr>
      <w:r w:rsidRPr="00496FD7">
        <w:rPr>
          <w:lang w:eastAsia="bg-BG"/>
        </w:rPr>
        <w:lastRenderedPageBreak/>
        <w:t xml:space="preserve">Съгласно изискванията на ЕК, интегрирането на аспектите за съхраняване, опазване и подобряване на качеството на околната среда, равенство между мъжете и жените, отчитане на социалните ефекти на пола, предотвратяване на всякаква дискриминация на основата на пол, расов или етнически произход, религия или вероизповедание, увреждане, възраст или сексуална ориентация трябва да бъдат оценени за всеки проект, включително осигуряване на достъпността на хората с увреждания, както и съответствието с правилата за държавната помощ. </w:t>
      </w:r>
    </w:p>
    <w:p w:rsidR="008477E2" w:rsidRPr="00496FD7" w:rsidRDefault="008477E2" w:rsidP="007E360C">
      <w:pPr>
        <w:rPr>
          <w:lang w:eastAsia="bg-BG"/>
        </w:rPr>
      </w:pPr>
    </w:p>
    <w:p w:rsidR="007E360C" w:rsidRPr="00496FD7" w:rsidRDefault="007E360C" w:rsidP="007E360C">
      <w:pPr>
        <w:spacing w:after="120"/>
        <w:rPr>
          <w:b/>
          <w:szCs w:val="24"/>
          <w:u w:val="single"/>
          <w:lang w:eastAsia="bg-BG"/>
        </w:rPr>
      </w:pPr>
      <w:r w:rsidRPr="00496FD7">
        <w:rPr>
          <w:b/>
          <w:szCs w:val="24"/>
          <w:u w:val="single"/>
          <w:lang w:eastAsia="bg-BG"/>
        </w:rPr>
        <w:t>Основните групи от критерии за техническа оценка са описани по-долу.</w:t>
      </w:r>
    </w:p>
    <w:p w:rsidR="007E360C" w:rsidRPr="00496FD7" w:rsidRDefault="007E360C" w:rsidP="007E360C">
      <w:pPr>
        <w:pStyle w:val="Style4"/>
        <w:rPr>
          <w:lang w:eastAsia="bg-BG"/>
        </w:rPr>
      </w:pPr>
      <w:bookmarkStart w:id="132" w:name="_Toc479775652"/>
      <w:r w:rsidRPr="00496FD7">
        <w:rPr>
          <w:lang w:eastAsia="bg-BG"/>
        </w:rPr>
        <w:t>Свързаност и съгласуваност</w:t>
      </w:r>
      <w:bookmarkEnd w:id="132"/>
      <w:r w:rsidRPr="00496FD7">
        <w:rPr>
          <w:lang w:eastAsia="bg-BG"/>
        </w:rPr>
        <w:t xml:space="preserve"> </w:t>
      </w:r>
    </w:p>
    <w:p w:rsidR="007E360C" w:rsidRPr="00496FD7" w:rsidRDefault="007E360C" w:rsidP="007E360C">
      <w:pPr>
        <w:contextualSpacing/>
        <w:rPr>
          <w:szCs w:val="24"/>
          <w:lang w:eastAsia="bg-BG"/>
        </w:rPr>
      </w:pPr>
    </w:p>
    <w:p w:rsidR="007E360C" w:rsidRPr="00496FD7" w:rsidRDefault="007E360C" w:rsidP="00E80472">
      <w:pPr>
        <w:numPr>
          <w:ilvl w:val="0"/>
          <w:numId w:val="15"/>
        </w:numPr>
        <w:ind w:left="709" w:hanging="425"/>
        <w:contextualSpacing/>
        <w:rPr>
          <w:b/>
          <w:szCs w:val="24"/>
          <w:lang w:eastAsia="bg-BG"/>
        </w:rPr>
      </w:pPr>
      <w:r w:rsidRPr="00496FD7">
        <w:rPr>
          <w:b/>
          <w:szCs w:val="24"/>
          <w:lang w:eastAsia="bg-BG"/>
        </w:rPr>
        <w:t xml:space="preserve">с целите и приоритетите на националната и общоевропейска политика за програмния период 2021-2027 г.: </w:t>
      </w:r>
    </w:p>
    <w:p w:rsidR="007E360C" w:rsidRPr="00496FD7" w:rsidRDefault="007E360C" w:rsidP="00E80472">
      <w:pPr>
        <w:numPr>
          <w:ilvl w:val="1"/>
          <w:numId w:val="15"/>
        </w:numPr>
        <w:tabs>
          <w:tab w:val="left" w:pos="1134"/>
        </w:tabs>
        <w:ind w:left="0" w:firstLine="425"/>
        <w:contextualSpacing/>
        <w:rPr>
          <w:szCs w:val="24"/>
          <w:lang w:eastAsia="bg-BG"/>
        </w:rPr>
      </w:pPr>
      <w:r w:rsidRPr="00496FD7">
        <w:rPr>
          <w:szCs w:val="24"/>
          <w:lang w:eastAsia="bg-BG"/>
        </w:rPr>
        <w:t xml:space="preserve">Връзка с основните </w:t>
      </w:r>
      <w:r w:rsidRPr="00496FD7">
        <w:rPr>
          <w:b/>
          <w:szCs w:val="24"/>
          <w:lang w:eastAsia="bg-BG"/>
        </w:rPr>
        <w:t>политики на ЕС и трансгранично влияние</w:t>
      </w:r>
      <w:r w:rsidRPr="00496FD7">
        <w:rPr>
          <w:szCs w:val="24"/>
          <w:lang w:eastAsia="bg-BG"/>
        </w:rPr>
        <w:t xml:space="preserve"> </w:t>
      </w:r>
      <w:r w:rsidR="00BC2BDA" w:rsidRPr="00496FD7">
        <w:rPr>
          <w:szCs w:val="24"/>
          <w:lang w:eastAsia="bg-BG"/>
        </w:rPr>
        <w:t xml:space="preserve">- </w:t>
      </w:r>
      <w:r w:rsidRPr="00496FD7">
        <w:rPr>
          <w:szCs w:val="24"/>
          <w:lang w:eastAsia="bg-BG"/>
        </w:rPr>
        <w:t>да бъде налице съответствие с разпоредбите на Общия Регламент, Приложния регламент, регламентите за ЕФРР и КФ, както и с други приложими регламенти и изисквания на ЕС;</w:t>
      </w:r>
    </w:p>
    <w:p w:rsidR="007E360C" w:rsidRPr="00496FD7" w:rsidRDefault="007E360C" w:rsidP="00E80472">
      <w:pPr>
        <w:numPr>
          <w:ilvl w:val="1"/>
          <w:numId w:val="15"/>
        </w:numPr>
        <w:tabs>
          <w:tab w:val="left" w:pos="1134"/>
        </w:tabs>
        <w:ind w:left="0" w:firstLine="425"/>
        <w:contextualSpacing/>
        <w:rPr>
          <w:szCs w:val="24"/>
          <w:lang w:eastAsia="bg-BG"/>
        </w:rPr>
      </w:pPr>
      <w:r w:rsidRPr="00496FD7">
        <w:rPr>
          <w:szCs w:val="24"/>
          <w:lang w:eastAsia="bg-BG"/>
        </w:rPr>
        <w:t xml:space="preserve">Връзка с </w:t>
      </w:r>
      <w:r w:rsidRPr="00496FD7">
        <w:rPr>
          <w:b/>
          <w:szCs w:val="24"/>
          <w:lang w:eastAsia="bg-BG"/>
        </w:rPr>
        <w:t>основни национални политики</w:t>
      </w:r>
      <w:r w:rsidRPr="00496FD7">
        <w:rPr>
          <w:szCs w:val="24"/>
          <w:lang w:eastAsia="bg-BG"/>
        </w:rPr>
        <w:t>.</w:t>
      </w:r>
    </w:p>
    <w:p w:rsidR="007E360C" w:rsidRPr="00496FD7" w:rsidRDefault="007E360C" w:rsidP="007E360C">
      <w:pPr>
        <w:rPr>
          <w:szCs w:val="24"/>
          <w:lang w:eastAsia="bg-BG"/>
        </w:rPr>
      </w:pPr>
    </w:p>
    <w:p w:rsidR="007E360C" w:rsidRPr="00496FD7" w:rsidRDefault="007E360C" w:rsidP="00E80472">
      <w:pPr>
        <w:numPr>
          <w:ilvl w:val="0"/>
          <w:numId w:val="15"/>
        </w:numPr>
        <w:ind w:left="709" w:hanging="425"/>
        <w:contextualSpacing/>
        <w:rPr>
          <w:b/>
          <w:szCs w:val="24"/>
          <w:lang w:eastAsia="bg-BG"/>
        </w:rPr>
      </w:pPr>
      <w:r w:rsidRPr="00496FD7">
        <w:rPr>
          <w:b/>
          <w:szCs w:val="24"/>
          <w:lang w:eastAsia="bg-BG"/>
        </w:rPr>
        <w:t>с основните приложими хоризонтални политики на ЕС:</w:t>
      </w:r>
    </w:p>
    <w:p w:rsidR="007E360C" w:rsidRPr="00496FD7" w:rsidRDefault="007E360C" w:rsidP="00E80472">
      <w:pPr>
        <w:numPr>
          <w:ilvl w:val="1"/>
          <w:numId w:val="15"/>
        </w:numPr>
        <w:tabs>
          <w:tab w:val="left" w:pos="1134"/>
        </w:tabs>
        <w:ind w:left="0" w:firstLine="425"/>
        <w:contextualSpacing/>
        <w:rPr>
          <w:szCs w:val="24"/>
          <w:lang w:eastAsia="bg-BG"/>
        </w:rPr>
      </w:pPr>
      <w:r w:rsidRPr="00496FD7">
        <w:rPr>
          <w:szCs w:val="24"/>
          <w:lang w:eastAsia="bg-BG"/>
        </w:rPr>
        <w:t>Устойчиво развитие, включващо:</w:t>
      </w:r>
    </w:p>
    <w:p w:rsidR="007E360C" w:rsidRPr="00496FD7" w:rsidRDefault="007E360C" w:rsidP="00E80472">
      <w:pPr>
        <w:numPr>
          <w:ilvl w:val="0"/>
          <w:numId w:val="16"/>
        </w:numPr>
        <w:ind w:left="1418"/>
        <w:contextualSpacing/>
        <w:rPr>
          <w:szCs w:val="24"/>
          <w:lang w:eastAsia="bg-BG"/>
        </w:rPr>
      </w:pPr>
      <w:r w:rsidRPr="00496FD7">
        <w:rPr>
          <w:szCs w:val="24"/>
          <w:lang w:eastAsia="bg-BG"/>
        </w:rPr>
        <w:t>Опазване на околната среда</w:t>
      </w:r>
    </w:p>
    <w:p w:rsidR="007E360C" w:rsidRPr="00496FD7" w:rsidRDefault="007E360C" w:rsidP="00E80472">
      <w:pPr>
        <w:numPr>
          <w:ilvl w:val="0"/>
          <w:numId w:val="16"/>
        </w:numPr>
        <w:ind w:left="1418"/>
        <w:contextualSpacing/>
        <w:rPr>
          <w:szCs w:val="24"/>
          <w:lang w:eastAsia="bg-BG"/>
        </w:rPr>
      </w:pPr>
      <w:r w:rsidRPr="00496FD7">
        <w:rPr>
          <w:szCs w:val="24"/>
          <w:lang w:eastAsia="bg-BG"/>
        </w:rPr>
        <w:t>Ефективно използване на ресурсите</w:t>
      </w:r>
    </w:p>
    <w:p w:rsidR="007E360C" w:rsidRPr="00496FD7" w:rsidRDefault="007E360C" w:rsidP="00E80472">
      <w:pPr>
        <w:numPr>
          <w:ilvl w:val="0"/>
          <w:numId w:val="16"/>
        </w:numPr>
        <w:ind w:left="1418"/>
        <w:contextualSpacing/>
        <w:rPr>
          <w:szCs w:val="24"/>
          <w:lang w:eastAsia="bg-BG"/>
        </w:rPr>
      </w:pPr>
      <w:r w:rsidRPr="00496FD7">
        <w:rPr>
          <w:szCs w:val="24"/>
          <w:lang w:eastAsia="bg-BG"/>
        </w:rPr>
        <w:t>Смекчаване измененията на климата и адаптация към него</w:t>
      </w:r>
    </w:p>
    <w:p w:rsidR="007E360C" w:rsidRPr="00496FD7" w:rsidRDefault="007E360C" w:rsidP="00E80472">
      <w:pPr>
        <w:numPr>
          <w:ilvl w:val="0"/>
          <w:numId w:val="16"/>
        </w:numPr>
        <w:ind w:left="1418"/>
        <w:contextualSpacing/>
        <w:rPr>
          <w:szCs w:val="24"/>
          <w:lang w:eastAsia="bg-BG"/>
        </w:rPr>
      </w:pPr>
      <w:r w:rsidRPr="00496FD7">
        <w:rPr>
          <w:szCs w:val="24"/>
          <w:lang w:eastAsia="bg-BG"/>
        </w:rPr>
        <w:t>Устойчивост при бедствия</w:t>
      </w:r>
    </w:p>
    <w:p w:rsidR="007E360C" w:rsidRPr="00496FD7" w:rsidRDefault="007E360C" w:rsidP="00E80472">
      <w:pPr>
        <w:numPr>
          <w:ilvl w:val="0"/>
          <w:numId w:val="16"/>
        </w:numPr>
        <w:ind w:left="1418"/>
        <w:contextualSpacing/>
        <w:rPr>
          <w:szCs w:val="24"/>
          <w:lang w:eastAsia="bg-BG"/>
        </w:rPr>
      </w:pPr>
      <w:r w:rsidRPr="00496FD7">
        <w:rPr>
          <w:szCs w:val="24"/>
          <w:lang w:eastAsia="bg-BG"/>
        </w:rPr>
        <w:t>Превенция и управление на риска от бедствия</w:t>
      </w:r>
    </w:p>
    <w:p w:rsidR="00EC732D" w:rsidRDefault="00EC732D" w:rsidP="00E80472">
      <w:pPr>
        <w:numPr>
          <w:ilvl w:val="1"/>
          <w:numId w:val="15"/>
        </w:numPr>
        <w:tabs>
          <w:tab w:val="left" w:pos="1134"/>
        </w:tabs>
        <w:ind w:left="0" w:firstLine="425"/>
        <w:contextualSpacing/>
        <w:rPr>
          <w:szCs w:val="24"/>
          <w:lang w:eastAsia="bg-BG"/>
        </w:rPr>
      </w:pPr>
      <w:r w:rsidRPr="00EC732D">
        <w:rPr>
          <w:szCs w:val="24"/>
          <w:lang w:eastAsia="bg-BG"/>
        </w:rPr>
        <w:t>Механизъм за ефективно прилагане и изпълнение по проекта на принципите на Хартата на основните права на ЕС и на Конвенцията на ООН за</w:t>
      </w:r>
      <w:r>
        <w:rPr>
          <w:szCs w:val="24"/>
          <w:lang w:eastAsia="bg-BG"/>
        </w:rPr>
        <w:t xml:space="preserve"> правата на хората с увреждания;</w:t>
      </w:r>
    </w:p>
    <w:p w:rsidR="007E360C" w:rsidRPr="00496FD7" w:rsidRDefault="007E360C" w:rsidP="00E80472">
      <w:pPr>
        <w:numPr>
          <w:ilvl w:val="1"/>
          <w:numId w:val="15"/>
        </w:numPr>
        <w:tabs>
          <w:tab w:val="left" w:pos="1134"/>
        </w:tabs>
        <w:ind w:left="0" w:firstLine="425"/>
        <w:contextualSpacing/>
        <w:rPr>
          <w:szCs w:val="24"/>
          <w:lang w:eastAsia="bg-BG"/>
        </w:rPr>
      </w:pPr>
      <w:r w:rsidRPr="00496FD7">
        <w:rPr>
          <w:szCs w:val="24"/>
          <w:lang w:eastAsia="bg-BG"/>
        </w:rPr>
        <w:t>Равни възможности и недопускане на дискриминация</w:t>
      </w:r>
    </w:p>
    <w:p w:rsidR="007E360C" w:rsidRPr="00496FD7" w:rsidRDefault="007E360C" w:rsidP="00E80472">
      <w:pPr>
        <w:numPr>
          <w:ilvl w:val="1"/>
          <w:numId w:val="15"/>
        </w:numPr>
        <w:tabs>
          <w:tab w:val="left" w:pos="1134"/>
        </w:tabs>
        <w:ind w:left="0" w:firstLine="425"/>
        <w:contextualSpacing/>
        <w:rPr>
          <w:szCs w:val="24"/>
          <w:lang w:eastAsia="bg-BG"/>
        </w:rPr>
      </w:pPr>
      <w:r w:rsidRPr="00496FD7">
        <w:rPr>
          <w:szCs w:val="24"/>
          <w:lang w:eastAsia="bg-BG"/>
        </w:rPr>
        <w:t>Равенство между половете</w:t>
      </w:r>
    </w:p>
    <w:p w:rsidR="007E360C" w:rsidRPr="00496FD7" w:rsidRDefault="007E360C" w:rsidP="00E80472">
      <w:pPr>
        <w:numPr>
          <w:ilvl w:val="1"/>
          <w:numId w:val="15"/>
        </w:numPr>
        <w:tabs>
          <w:tab w:val="left" w:pos="1134"/>
        </w:tabs>
        <w:ind w:left="0" w:firstLine="425"/>
        <w:contextualSpacing/>
        <w:rPr>
          <w:szCs w:val="24"/>
          <w:lang w:eastAsia="bg-BG"/>
        </w:rPr>
      </w:pPr>
      <w:r w:rsidRPr="00496FD7">
        <w:rPr>
          <w:szCs w:val="24"/>
          <w:lang w:eastAsia="bg-BG"/>
        </w:rPr>
        <w:t>Партньорство и многостепенно управление</w:t>
      </w:r>
    </w:p>
    <w:p w:rsidR="007E360C" w:rsidRPr="00496FD7" w:rsidRDefault="007E360C" w:rsidP="00E80472">
      <w:pPr>
        <w:numPr>
          <w:ilvl w:val="1"/>
          <w:numId w:val="15"/>
        </w:numPr>
        <w:tabs>
          <w:tab w:val="left" w:pos="1134"/>
        </w:tabs>
        <w:ind w:left="0" w:firstLine="425"/>
        <w:contextualSpacing/>
        <w:rPr>
          <w:szCs w:val="24"/>
          <w:lang w:eastAsia="bg-BG"/>
        </w:rPr>
      </w:pPr>
      <w:r w:rsidRPr="00496FD7">
        <w:rPr>
          <w:szCs w:val="24"/>
          <w:lang w:eastAsia="bg-BG"/>
        </w:rPr>
        <w:t>Държавни помощи</w:t>
      </w:r>
    </w:p>
    <w:p w:rsidR="007E360C" w:rsidRPr="00496FD7" w:rsidRDefault="007E360C" w:rsidP="00E80472">
      <w:pPr>
        <w:numPr>
          <w:ilvl w:val="1"/>
          <w:numId w:val="15"/>
        </w:numPr>
        <w:tabs>
          <w:tab w:val="left" w:pos="1134"/>
        </w:tabs>
        <w:ind w:left="0" w:firstLine="425"/>
        <w:contextualSpacing/>
        <w:rPr>
          <w:szCs w:val="24"/>
          <w:lang w:eastAsia="bg-BG"/>
        </w:rPr>
      </w:pPr>
      <w:r w:rsidRPr="00496FD7">
        <w:rPr>
          <w:szCs w:val="24"/>
          <w:lang w:eastAsia="bg-BG"/>
        </w:rPr>
        <w:t>Обществени поръчки</w:t>
      </w:r>
    </w:p>
    <w:p w:rsidR="007E360C" w:rsidRPr="00496FD7" w:rsidRDefault="007E360C" w:rsidP="00E80472">
      <w:pPr>
        <w:numPr>
          <w:ilvl w:val="1"/>
          <w:numId w:val="15"/>
        </w:numPr>
        <w:tabs>
          <w:tab w:val="left" w:pos="1134"/>
        </w:tabs>
        <w:ind w:left="0" w:firstLine="425"/>
        <w:contextualSpacing/>
        <w:rPr>
          <w:szCs w:val="24"/>
          <w:lang w:eastAsia="bg-BG"/>
        </w:rPr>
      </w:pPr>
      <w:r w:rsidRPr="00496FD7">
        <w:rPr>
          <w:szCs w:val="24"/>
          <w:lang w:eastAsia="bg-BG"/>
        </w:rPr>
        <w:t>Конкурентоспособност</w:t>
      </w:r>
    </w:p>
    <w:p w:rsidR="00EC732D" w:rsidRDefault="00EC732D" w:rsidP="00EC732D">
      <w:pPr>
        <w:numPr>
          <w:ilvl w:val="1"/>
          <w:numId w:val="15"/>
        </w:numPr>
        <w:tabs>
          <w:tab w:val="left" w:pos="1134"/>
        </w:tabs>
        <w:ind w:left="0" w:firstLine="425"/>
        <w:contextualSpacing/>
        <w:rPr>
          <w:szCs w:val="24"/>
          <w:lang w:eastAsia="bg-BG"/>
        </w:rPr>
      </w:pPr>
      <w:r w:rsidRPr="00EC732D">
        <w:rPr>
          <w:szCs w:val="24"/>
          <w:lang w:eastAsia="bg-BG"/>
        </w:rPr>
        <w:t>Хоризонталните принципи</w:t>
      </w:r>
    </w:p>
    <w:p w:rsidR="007E360C" w:rsidRPr="00496FD7" w:rsidRDefault="007E360C" w:rsidP="00EC732D">
      <w:pPr>
        <w:numPr>
          <w:ilvl w:val="1"/>
          <w:numId w:val="15"/>
        </w:numPr>
        <w:tabs>
          <w:tab w:val="left" w:pos="1134"/>
        </w:tabs>
        <w:ind w:left="0" w:firstLine="425"/>
        <w:contextualSpacing/>
        <w:rPr>
          <w:szCs w:val="24"/>
          <w:lang w:eastAsia="bg-BG"/>
        </w:rPr>
      </w:pPr>
      <w:r w:rsidRPr="00496FD7">
        <w:rPr>
          <w:szCs w:val="24"/>
          <w:lang w:eastAsia="bg-BG"/>
        </w:rPr>
        <w:t>Други приложими;</w:t>
      </w:r>
    </w:p>
    <w:p w:rsidR="007E360C" w:rsidRPr="00496FD7" w:rsidRDefault="007E360C" w:rsidP="007E360C">
      <w:pPr>
        <w:ind w:left="1843"/>
        <w:contextualSpacing/>
        <w:rPr>
          <w:szCs w:val="24"/>
          <w:lang w:eastAsia="bg-BG"/>
        </w:rPr>
      </w:pPr>
    </w:p>
    <w:p w:rsidR="007E360C" w:rsidRPr="00496FD7" w:rsidRDefault="007E360C" w:rsidP="00E80472">
      <w:pPr>
        <w:numPr>
          <w:ilvl w:val="0"/>
          <w:numId w:val="15"/>
        </w:numPr>
        <w:ind w:left="709" w:hanging="425"/>
        <w:contextualSpacing/>
        <w:rPr>
          <w:b/>
          <w:szCs w:val="24"/>
          <w:lang w:eastAsia="bg-BG"/>
        </w:rPr>
      </w:pPr>
      <w:r w:rsidRPr="00496FD7">
        <w:rPr>
          <w:b/>
          <w:szCs w:val="24"/>
          <w:lang w:eastAsia="bg-BG"/>
        </w:rPr>
        <w:t xml:space="preserve">с </w:t>
      </w:r>
      <w:r w:rsidR="00BC2BDA" w:rsidRPr="00496FD7">
        <w:rPr>
          <w:b/>
          <w:szCs w:val="24"/>
          <w:lang w:eastAsia="bg-BG"/>
        </w:rPr>
        <w:t xml:space="preserve">ОПТТИ 2014-2020 г., </w:t>
      </w:r>
      <w:r w:rsidRPr="00496FD7">
        <w:rPr>
          <w:b/>
          <w:szCs w:val="24"/>
          <w:lang w:eastAsia="bg-BG"/>
        </w:rPr>
        <w:t xml:space="preserve">ОПТ 2007-2013, </w:t>
      </w:r>
      <w:r w:rsidRPr="00496FD7">
        <w:rPr>
          <w:szCs w:val="24"/>
          <w:lang w:eastAsia="bg-BG"/>
        </w:rPr>
        <w:t xml:space="preserve">с други </w:t>
      </w:r>
      <w:r w:rsidR="00BC2BDA" w:rsidRPr="00496FD7">
        <w:rPr>
          <w:szCs w:val="24"/>
          <w:lang w:eastAsia="bg-BG"/>
        </w:rPr>
        <w:t xml:space="preserve">програми, </w:t>
      </w:r>
      <w:r w:rsidRPr="00496FD7">
        <w:rPr>
          <w:szCs w:val="24"/>
          <w:lang w:eastAsia="bg-BG"/>
        </w:rPr>
        <w:t>оперативни програми и/или проекти/ инициативи в ход и финансирани от други източници</w:t>
      </w:r>
    </w:p>
    <w:p w:rsidR="007E360C" w:rsidRPr="00496FD7" w:rsidRDefault="007E360C" w:rsidP="007E360C">
      <w:pPr>
        <w:ind w:left="3204"/>
        <w:contextualSpacing/>
        <w:rPr>
          <w:szCs w:val="24"/>
          <w:lang w:eastAsia="bg-BG"/>
        </w:rPr>
      </w:pPr>
    </w:p>
    <w:p w:rsidR="007E360C" w:rsidRPr="00496FD7" w:rsidRDefault="007E360C" w:rsidP="007E360C">
      <w:pPr>
        <w:pStyle w:val="Style4"/>
        <w:rPr>
          <w:lang w:val="bg-BG" w:eastAsia="bg-BG"/>
        </w:rPr>
      </w:pPr>
      <w:bookmarkStart w:id="133" w:name="_Toc479775653"/>
      <w:r w:rsidRPr="00496FD7">
        <w:rPr>
          <w:lang w:val="bg-BG" w:eastAsia="bg-BG"/>
        </w:rPr>
        <w:t>Ефективност – оценка на приноса на проектното предложение  към постигането на целите, в т.ч. цели по:</w:t>
      </w:r>
      <w:bookmarkEnd w:id="133"/>
    </w:p>
    <w:p w:rsidR="007E360C" w:rsidRPr="00496FD7" w:rsidRDefault="007E360C" w:rsidP="00E80472">
      <w:pPr>
        <w:numPr>
          <w:ilvl w:val="0"/>
          <w:numId w:val="15"/>
        </w:numPr>
        <w:ind w:left="0" w:firstLine="850"/>
        <w:contextualSpacing/>
        <w:rPr>
          <w:szCs w:val="24"/>
          <w:lang w:eastAsia="bg-BG"/>
        </w:rPr>
      </w:pPr>
      <w:r w:rsidRPr="00496FD7">
        <w:rPr>
          <w:b/>
          <w:szCs w:val="24"/>
          <w:lang w:eastAsia="bg-BG"/>
        </w:rPr>
        <w:t>В</w:t>
      </w:r>
      <w:r w:rsidR="00BC2BDA" w:rsidRPr="00496FD7">
        <w:rPr>
          <w:b/>
          <w:szCs w:val="24"/>
          <w:lang w:eastAsia="bg-BG"/>
        </w:rPr>
        <w:t>ъздействие върху околната среда</w:t>
      </w:r>
      <w:r w:rsidRPr="00496FD7">
        <w:rPr>
          <w:szCs w:val="24"/>
          <w:lang w:eastAsia="bg-BG"/>
        </w:rPr>
        <w:t>;</w:t>
      </w:r>
    </w:p>
    <w:p w:rsidR="007E360C" w:rsidRPr="00496FD7" w:rsidRDefault="007E360C" w:rsidP="00E80472">
      <w:pPr>
        <w:numPr>
          <w:ilvl w:val="0"/>
          <w:numId w:val="15"/>
        </w:numPr>
        <w:ind w:left="0" w:firstLine="850"/>
        <w:contextualSpacing/>
        <w:rPr>
          <w:szCs w:val="24"/>
          <w:lang w:eastAsia="bg-BG"/>
        </w:rPr>
      </w:pPr>
      <w:r w:rsidRPr="00496FD7">
        <w:rPr>
          <w:b/>
          <w:szCs w:val="24"/>
          <w:lang w:eastAsia="bg-BG"/>
        </w:rPr>
        <w:lastRenderedPageBreak/>
        <w:t>Социално-икономически критерии: създадена трудова заетост</w:t>
      </w:r>
      <w:r w:rsidRPr="00496FD7">
        <w:rPr>
          <w:szCs w:val="24"/>
          <w:lang w:eastAsia="bg-BG"/>
        </w:rPr>
        <w:t xml:space="preserve"> по време и след изпълнение на проекта; Икономическа нетна настояща стойност (</w:t>
      </w:r>
      <w:r w:rsidRPr="00496FD7">
        <w:rPr>
          <w:b/>
          <w:szCs w:val="24"/>
          <w:lang w:eastAsia="bg-BG"/>
        </w:rPr>
        <w:t>ИННС</w:t>
      </w:r>
      <w:r w:rsidRPr="00496FD7">
        <w:rPr>
          <w:szCs w:val="24"/>
          <w:lang w:eastAsia="bg-BG"/>
        </w:rPr>
        <w:t>) и икономическа вътрешна норма на възвращаемост (</w:t>
      </w:r>
      <w:r w:rsidRPr="00496FD7">
        <w:rPr>
          <w:b/>
          <w:szCs w:val="24"/>
          <w:lang w:eastAsia="bg-BG"/>
        </w:rPr>
        <w:t>ИВНВ</w:t>
      </w:r>
      <w:r w:rsidRPr="00496FD7">
        <w:rPr>
          <w:szCs w:val="24"/>
          <w:lang w:eastAsia="bg-BG"/>
        </w:rPr>
        <w:t>) - ИННС на един проект трябва да е &gt; 0, а ИВНВ трябва да е &gt; 5,5 %, за да се дефинира като проект, който допринася за повече ползи за обществото като цяло, отколкото са разходите за неговата реализация.</w:t>
      </w:r>
    </w:p>
    <w:p w:rsidR="007E360C" w:rsidRPr="00496FD7" w:rsidRDefault="007E360C" w:rsidP="00E80472">
      <w:pPr>
        <w:numPr>
          <w:ilvl w:val="0"/>
          <w:numId w:val="15"/>
        </w:numPr>
        <w:ind w:left="0" w:firstLine="850"/>
        <w:contextualSpacing/>
        <w:rPr>
          <w:szCs w:val="24"/>
          <w:lang w:eastAsia="bg-BG"/>
        </w:rPr>
      </w:pPr>
      <w:r w:rsidRPr="00496FD7">
        <w:rPr>
          <w:szCs w:val="24"/>
          <w:lang w:eastAsia="bg-BG"/>
        </w:rPr>
        <w:t xml:space="preserve">Подобряване на </w:t>
      </w:r>
      <w:r w:rsidRPr="00496FD7">
        <w:rPr>
          <w:b/>
          <w:szCs w:val="24"/>
          <w:lang w:eastAsia="bg-BG"/>
        </w:rPr>
        <w:t>безопасността</w:t>
      </w:r>
      <w:r w:rsidRPr="00496FD7">
        <w:rPr>
          <w:szCs w:val="24"/>
          <w:lang w:eastAsia="bg-BG"/>
        </w:rPr>
        <w:t xml:space="preserve"> на транспорта;</w:t>
      </w:r>
    </w:p>
    <w:p w:rsidR="007E360C" w:rsidRPr="00496FD7" w:rsidRDefault="007E360C" w:rsidP="00E80472">
      <w:pPr>
        <w:numPr>
          <w:ilvl w:val="0"/>
          <w:numId w:val="15"/>
        </w:numPr>
        <w:ind w:left="0" w:firstLine="850"/>
        <w:contextualSpacing/>
        <w:rPr>
          <w:szCs w:val="24"/>
          <w:lang w:eastAsia="bg-BG"/>
        </w:rPr>
      </w:pPr>
      <w:r w:rsidRPr="00496FD7">
        <w:rPr>
          <w:b/>
          <w:szCs w:val="24"/>
          <w:lang w:eastAsia="bg-BG"/>
        </w:rPr>
        <w:t>Проектна готовност –</w:t>
      </w:r>
      <w:r w:rsidRPr="00496FD7">
        <w:rPr>
          <w:szCs w:val="24"/>
          <w:lang w:eastAsia="bg-BG"/>
        </w:rPr>
        <w:t xml:space="preserve"> тя е индикация за вложените до момента средства по проектното предложение, както и за степента на </w:t>
      </w:r>
      <w:r w:rsidRPr="00496FD7">
        <w:rPr>
          <w:b/>
          <w:szCs w:val="24"/>
          <w:lang w:eastAsia="bg-BG"/>
        </w:rPr>
        <w:t>риска за осъществяването</w:t>
      </w:r>
      <w:r w:rsidRPr="00496FD7">
        <w:rPr>
          <w:szCs w:val="24"/>
          <w:lang w:eastAsia="bg-BG"/>
        </w:rPr>
        <w:t xml:space="preserve"> на проекта (включително изяснено устройствено планиране и провеждане на отчуждителни процедури); проверява се за наличие на пред-проектни проучвания идеен/технически проект; приключила процедура по реда на глава шеста от ЗООС и/или чл. 31 от ЗБР с влязъл в сила краен административен акт;  </w:t>
      </w:r>
    </w:p>
    <w:p w:rsidR="007E360C" w:rsidRPr="00496FD7" w:rsidRDefault="007E360C" w:rsidP="00E80472">
      <w:pPr>
        <w:numPr>
          <w:ilvl w:val="0"/>
          <w:numId w:val="15"/>
        </w:numPr>
        <w:ind w:left="0" w:firstLine="850"/>
        <w:contextualSpacing/>
        <w:rPr>
          <w:szCs w:val="24"/>
          <w:lang w:eastAsia="bg-BG"/>
        </w:rPr>
      </w:pPr>
      <w:r w:rsidRPr="00496FD7">
        <w:rPr>
          <w:szCs w:val="24"/>
          <w:lang w:eastAsia="bg-BG"/>
        </w:rPr>
        <w:t xml:space="preserve">Проектното предложение има принос </w:t>
      </w:r>
      <w:r w:rsidRPr="00496FD7">
        <w:rPr>
          <w:b/>
          <w:szCs w:val="24"/>
          <w:lang w:eastAsia="bg-BG"/>
        </w:rPr>
        <w:t>за европейска добавена стойност:</w:t>
      </w:r>
      <w:r w:rsidRPr="00496FD7">
        <w:rPr>
          <w:szCs w:val="24"/>
          <w:lang w:eastAsia="bg-BG"/>
        </w:rPr>
        <w:t xml:space="preserve"> Преценява се степента на реализиране на проекта в рамките на ЕС (не единствено на национално ниво).</w:t>
      </w:r>
    </w:p>
    <w:p w:rsidR="007E360C" w:rsidRPr="00496FD7" w:rsidRDefault="007E360C" w:rsidP="007E360C">
      <w:pPr>
        <w:ind w:left="2484"/>
        <w:contextualSpacing/>
        <w:rPr>
          <w:szCs w:val="24"/>
          <w:lang w:eastAsia="bg-BG"/>
        </w:rPr>
      </w:pPr>
    </w:p>
    <w:p w:rsidR="007E360C" w:rsidRPr="00496FD7" w:rsidRDefault="007E360C" w:rsidP="007E360C">
      <w:pPr>
        <w:pStyle w:val="Style4"/>
        <w:ind w:left="-142" w:firstLine="1222"/>
        <w:rPr>
          <w:lang w:val="bg-BG" w:eastAsia="bg-BG"/>
        </w:rPr>
      </w:pPr>
      <w:bookmarkStart w:id="134" w:name="_Toc479775654"/>
      <w:r w:rsidRPr="00496FD7">
        <w:rPr>
          <w:lang w:val="bg-BG" w:eastAsia="bg-BG"/>
        </w:rPr>
        <w:t>Ефикасност - показва отношението на постигнатия резултат спрямо вложените ресурсите (финансови, времеви), необходими за постигане на целите.</w:t>
      </w:r>
      <w:bookmarkEnd w:id="134"/>
    </w:p>
    <w:p w:rsidR="007E360C" w:rsidRPr="00496FD7" w:rsidRDefault="007E360C" w:rsidP="00E80472">
      <w:pPr>
        <w:numPr>
          <w:ilvl w:val="0"/>
          <w:numId w:val="15"/>
        </w:numPr>
        <w:ind w:left="0" w:firstLine="850"/>
        <w:contextualSpacing/>
        <w:rPr>
          <w:color w:val="000000"/>
          <w:szCs w:val="24"/>
          <w:lang w:eastAsia="bg-BG"/>
        </w:rPr>
      </w:pPr>
      <w:r w:rsidRPr="00496FD7">
        <w:rPr>
          <w:b/>
          <w:szCs w:val="24"/>
          <w:lang w:eastAsia="bg-BG"/>
        </w:rPr>
        <w:t>Финансов капацитет</w:t>
      </w:r>
      <w:r w:rsidRPr="00496FD7">
        <w:rPr>
          <w:szCs w:val="24"/>
          <w:lang w:eastAsia="bg-BG"/>
        </w:rPr>
        <w:t xml:space="preserve"> на бенефициента - във формуляра за кандидатстване да бъде показан правният статут на бенефициента и неговият финансовия капацитет да изпълни дейностите в проектното предложение </w:t>
      </w:r>
      <w:r w:rsidRPr="00496FD7">
        <w:rPr>
          <w:color w:val="000000"/>
          <w:szCs w:val="24"/>
          <w:vertAlign w:val="superscript"/>
          <w:lang w:eastAsia="bg-BG"/>
        </w:rPr>
        <w:footnoteReference w:id="3"/>
      </w:r>
      <w:r w:rsidRPr="00496FD7">
        <w:rPr>
          <w:color w:val="000000"/>
          <w:szCs w:val="24"/>
          <w:lang w:eastAsia="bg-BG"/>
        </w:rPr>
        <w:t>.</w:t>
      </w:r>
    </w:p>
    <w:p w:rsidR="007E360C" w:rsidRPr="00496FD7" w:rsidRDefault="007E360C" w:rsidP="00E80472">
      <w:pPr>
        <w:numPr>
          <w:ilvl w:val="0"/>
          <w:numId w:val="15"/>
        </w:numPr>
        <w:ind w:left="0" w:firstLine="850"/>
        <w:contextualSpacing/>
        <w:rPr>
          <w:szCs w:val="24"/>
          <w:lang w:eastAsia="bg-BG"/>
        </w:rPr>
      </w:pPr>
      <w:r w:rsidRPr="00496FD7">
        <w:rPr>
          <w:b/>
          <w:szCs w:val="24"/>
          <w:lang w:eastAsia="bg-BG"/>
        </w:rPr>
        <w:t>Административен и оперативен капацитет</w:t>
      </w:r>
      <w:r w:rsidRPr="00496FD7">
        <w:rPr>
          <w:szCs w:val="24"/>
          <w:lang w:eastAsia="bg-BG"/>
        </w:rPr>
        <w:t xml:space="preserve"> на бенефициента - в проектното предложение е показано, че бенефициента разполага с необходимия административен и оперативен капацитет за изпълнение на дейностите по проектното предложение</w:t>
      </w:r>
      <w:r w:rsidRPr="00496FD7">
        <w:rPr>
          <w:color w:val="000000"/>
          <w:szCs w:val="24"/>
          <w:vertAlign w:val="superscript"/>
          <w:lang w:eastAsia="bg-BG"/>
        </w:rPr>
        <w:t>1</w:t>
      </w:r>
      <w:r w:rsidRPr="00496FD7">
        <w:rPr>
          <w:color w:val="000000"/>
          <w:szCs w:val="24"/>
          <w:lang w:eastAsia="bg-BG"/>
        </w:rPr>
        <w:t xml:space="preserve">; </w:t>
      </w:r>
      <w:r w:rsidRPr="00496FD7">
        <w:rPr>
          <w:szCs w:val="24"/>
          <w:lang w:eastAsia="bg-BG"/>
        </w:rPr>
        <w:t>Установена е действаща ясна структура за управление/ изпълнение на проекта; Създадени и действащи системи за добро управление и контрол.</w:t>
      </w:r>
    </w:p>
    <w:p w:rsidR="007E360C" w:rsidRPr="00496FD7" w:rsidRDefault="007E360C" w:rsidP="00E80472">
      <w:pPr>
        <w:numPr>
          <w:ilvl w:val="0"/>
          <w:numId w:val="15"/>
        </w:numPr>
        <w:ind w:left="0" w:firstLine="850"/>
        <w:contextualSpacing/>
        <w:rPr>
          <w:b/>
          <w:szCs w:val="24"/>
          <w:lang w:eastAsia="bg-BG"/>
        </w:rPr>
      </w:pPr>
      <w:r w:rsidRPr="00496FD7">
        <w:rPr>
          <w:b/>
          <w:szCs w:val="24"/>
          <w:lang w:eastAsia="bg-BG"/>
        </w:rPr>
        <w:t xml:space="preserve">Оценка на Финансов план: </w:t>
      </w:r>
      <w:r w:rsidRPr="00496FD7">
        <w:rPr>
          <w:szCs w:val="24"/>
          <w:lang w:eastAsia="bg-BG"/>
        </w:rPr>
        <w:t xml:space="preserve">Основан на реалистична програма за физическо изпълнение; разработен в детайли; осигурени от бенефициента приемливи източници за финансиране на недопустими разходи, собствено съ-финансиране и за управление на проекта; съгласно насоките на ЕК за изготвяне на анализ за разходите и ползите за инвестиционни проекти за </w:t>
      </w:r>
      <w:r w:rsidR="00BC2BDA" w:rsidRPr="00496FD7">
        <w:rPr>
          <w:szCs w:val="24"/>
          <w:lang w:eastAsia="bg-BG"/>
        </w:rPr>
        <w:t>програмния период 2021-2027 г.</w:t>
      </w:r>
      <w:r w:rsidRPr="00496FD7">
        <w:rPr>
          <w:szCs w:val="24"/>
          <w:lang w:eastAsia="bg-BG"/>
        </w:rPr>
        <w:t>;</w:t>
      </w:r>
      <w:r w:rsidRPr="00496FD7">
        <w:rPr>
          <w:b/>
          <w:szCs w:val="24"/>
          <w:lang w:eastAsia="bg-BG"/>
        </w:rPr>
        <w:t xml:space="preserve"> </w:t>
      </w:r>
      <w:r w:rsidRPr="00496FD7">
        <w:rPr>
          <w:szCs w:val="24"/>
          <w:lang w:eastAsia="bg-BG"/>
        </w:rPr>
        <w:t xml:space="preserve">Всички недопустими разходи трябва да бъдат извадени от стойността на предоставената безвъзмездна помощ; проверка за съответствие с правилата за държавни помощи. </w:t>
      </w:r>
    </w:p>
    <w:p w:rsidR="007E360C" w:rsidRPr="00496FD7" w:rsidRDefault="007E360C" w:rsidP="00E80472">
      <w:pPr>
        <w:numPr>
          <w:ilvl w:val="0"/>
          <w:numId w:val="15"/>
        </w:numPr>
        <w:tabs>
          <w:tab w:val="left" w:pos="284"/>
        </w:tabs>
        <w:ind w:left="0" w:firstLine="850"/>
        <w:contextualSpacing/>
        <w:rPr>
          <w:szCs w:val="24"/>
          <w:lang w:eastAsia="bg-BG"/>
        </w:rPr>
      </w:pPr>
      <w:r w:rsidRPr="00496FD7">
        <w:rPr>
          <w:b/>
          <w:szCs w:val="24"/>
          <w:lang w:eastAsia="bg-BG"/>
        </w:rPr>
        <w:t xml:space="preserve">Анализ и оценка на риска: </w:t>
      </w:r>
      <w:r w:rsidRPr="00496FD7">
        <w:rPr>
          <w:szCs w:val="24"/>
          <w:lang w:eastAsia="bg-BG"/>
        </w:rPr>
        <w:t>адекватно и приложимо определяне на потенциалните и реалните рискове; формулирани подходящи мерки за преодоляването им;</w:t>
      </w:r>
    </w:p>
    <w:p w:rsidR="007E360C" w:rsidRPr="00496FD7" w:rsidRDefault="007E360C" w:rsidP="00E80472">
      <w:pPr>
        <w:numPr>
          <w:ilvl w:val="0"/>
          <w:numId w:val="15"/>
        </w:numPr>
        <w:ind w:left="0" w:firstLine="850"/>
        <w:contextualSpacing/>
        <w:rPr>
          <w:szCs w:val="24"/>
          <w:lang w:eastAsia="bg-BG"/>
        </w:rPr>
      </w:pPr>
      <w:r w:rsidRPr="00496FD7">
        <w:rPr>
          <w:b/>
          <w:szCs w:val="24"/>
          <w:lang w:eastAsia="bg-BG"/>
        </w:rPr>
        <w:t>График за изпълнение на проекта</w:t>
      </w:r>
      <w:r w:rsidRPr="00496FD7">
        <w:rPr>
          <w:szCs w:val="24"/>
          <w:lang w:eastAsia="bg-BG"/>
        </w:rPr>
        <w:t xml:space="preserve"> - изпълнението и приключването на проекта попада в периода на действие на програмата.</w:t>
      </w:r>
    </w:p>
    <w:p w:rsidR="00FD28E6" w:rsidRPr="00496FD7" w:rsidRDefault="00FD28E6" w:rsidP="00FD28E6">
      <w:pPr>
        <w:ind w:left="850" w:firstLine="0"/>
        <w:contextualSpacing/>
        <w:rPr>
          <w:szCs w:val="24"/>
          <w:lang w:eastAsia="bg-BG"/>
        </w:rPr>
      </w:pPr>
    </w:p>
    <w:p w:rsidR="007E360C" w:rsidRPr="00496FD7" w:rsidRDefault="007E360C" w:rsidP="00E80472">
      <w:pPr>
        <w:numPr>
          <w:ilvl w:val="0"/>
          <w:numId w:val="15"/>
        </w:numPr>
        <w:ind w:left="0" w:firstLine="850"/>
        <w:contextualSpacing/>
        <w:rPr>
          <w:szCs w:val="24"/>
          <w:lang w:eastAsia="bg-BG"/>
        </w:rPr>
      </w:pPr>
      <w:r w:rsidRPr="00496FD7">
        <w:rPr>
          <w:szCs w:val="24"/>
          <w:lang w:eastAsia="bg-BG"/>
        </w:rPr>
        <w:lastRenderedPageBreak/>
        <w:t xml:space="preserve">Наличие на </w:t>
      </w:r>
      <w:r w:rsidRPr="00496FD7">
        <w:rPr>
          <w:b/>
          <w:szCs w:val="24"/>
          <w:lang w:eastAsia="bg-BG"/>
        </w:rPr>
        <w:t>от реалистични и измерими индикатори</w:t>
      </w:r>
      <w:r w:rsidRPr="00496FD7">
        <w:rPr>
          <w:szCs w:val="24"/>
          <w:lang w:eastAsia="bg-BG"/>
        </w:rPr>
        <w:t xml:space="preserve">, приложими за проследяване на напредъка по проекта  и измерване на общия напредък по отношение постигане на целите по </w:t>
      </w:r>
      <w:r w:rsidR="00E30976" w:rsidRPr="00496FD7">
        <w:rPr>
          <w:szCs w:val="24"/>
          <w:lang w:eastAsia="bg-BG"/>
        </w:rPr>
        <w:t>приоритет</w:t>
      </w:r>
      <w:r w:rsidRPr="00496FD7">
        <w:rPr>
          <w:szCs w:val="24"/>
          <w:lang w:eastAsia="bg-BG"/>
        </w:rPr>
        <w:t>и по програмата</w:t>
      </w:r>
      <w:r w:rsidR="00FD28E6" w:rsidRPr="00496FD7">
        <w:rPr>
          <w:szCs w:val="24"/>
          <w:lang w:eastAsia="bg-BG"/>
        </w:rPr>
        <w:t>.</w:t>
      </w:r>
    </w:p>
    <w:p w:rsidR="007E360C" w:rsidRPr="00496FD7" w:rsidRDefault="007E360C" w:rsidP="007E360C">
      <w:pPr>
        <w:rPr>
          <w:szCs w:val="24"/>
          <w:lang w:eastAsia="bg-BG"/>
        </w:rPr>
      </w:pPr>
    </w:p>
    <w:p w:rsidR="007E360C" w:rsidRPr="00496FD7" w:rsidRDefault="007E360C" w:rsidP="007E360C">
      <w:pPr>
        <w:pStyle w:val="Style4"/>
        <w:rPr>
          <w:lang w:val="bg-BG" w:eastAsia="bg-BG"/>
        </w:rPr>
      </w:pPr>
      <w:bookmarkStart w:id="135" w:name="_Toc479775655"/>
      <w:r w:rsidRPr="00496FD7">
        <w:rPr>
          <w:lang w:val="bg-BG" w:eastAsia="bg-BG"/>
        </w:rPr>
        <w:t>Устойчивост на очакваните резултати от проектното предложение от гледна точка на консумирани ресурси, въздействие върху околната среда, също и финансова, експлоатационна и институционална устойчивост.</w:t>
      </w:r>
      <w:bookmarkEnd w:id="135"/>
    </w:p>
    <w:p w:rsidR="007E360C" w:rsidRPr="00496FD7" w:rsidRDefault="007E360C" w:rsidP="00E80472">
      <w:pPr>
        <w:numPr>
          <w:ilvl w:val="0"/>
          <w:numId w:val="15"/>
        </w:numPr>
        <w:ind w:left="0" w:firstLine="850"/>
        <w:contextualSpacing/>
        <w:rPr>
          <w:szCs w:val="24"/>
          <w:lang w:eastAsia="bg-BG"/>
        </w:rPr>
      </w:pPr>
      <w:r w:rsidRPr="00496FD7">
        <w:rPr>
          <w:szCs w:val="24"/>
          <w:lang w:eastAsia="bg-BG"/>
        </w:rPr>
        <w:t xml:space="preserve">Представени доказателства за осигурено </w:t>
      </w:r>
      <w:r w:rsidRPr="00496FD7">
        <w:rPr>
          <w:b/>
          <w:szCs w:val="24"/>
          <w:lang w:eastAsia="bg-BG"/>
        </w:rPr>
        <w:t>партньорство и консенсус</w:t>
      </w:r>
      <w:r w:rsidRPr="00496FD7">
        <w:rPr>
          <w:szCs w:val="24"/>
          <w:lang w:eastAsia="bg-BG"/>
        </w:rPr>
        <w:t xml:space="preserve"> между страните както по време на изпълнението, така</w:t>
      </w:r>
      <w:r w:rsidR="00FD28E6" w:rsidRPr="00496FD7">
        <w:rPr>
          <w:szCs w:val="24"/>
          <w:lang w:eastAsia="bg-BG"/>
        </w:rPr>
        <w:t xml:space="preserve"> и след завършването на проекта.</w:t>
      </w:r>
    </w:p>
    <w:p w:rsidR="00FD28E6" w:rsidRPr="00496FD7" w:rsidRDefault="00FD28E6" w:rsidP="00FD28E6">
      <w:pPr>
        <w:ind w:left="850" w:firstLine="0"/>
        <w:contextualSpacing/>
        <w:rPr>
          <w:szCs w:val="24"/>
          <w:lang w:eastAsia="bg-BG"/>
        </w:rPr>
      </w:pPr>
    </w:p>
    <w:p w:rsidR="007E360C" w:rsidRPr="00496FD7" w:rsidRDefault="007E360C" w:rsidP="00E80472">
      <w:pPr>
        <w:numPr>
          <w:ilvl w:val="0"/>
          <w:numId w:val="15"/>
        </w:numPr>
        <w:ind w:left="0" w:firstLine="850"/>
        <w:contextualSpacing/>
        <w:rPr>
          <w:szCs w:val="24"/>
          <w:lang w:eastAsia="bg-BG"/>
        </w:rPr>
      </w:pPr>
      <w:r w:rsidRPr="00496FD7">
        <w:rPr>
          <w:szCs w:val="24"/>
          <w:lang w:eastAsia="bg-BG"/>
        </w:rPr>
        <w:t xml:space="preserve">Доказана </w:t>
      </w:r>
      <w:r w:rsidRPr="00496FD7">
        <w:rPr>
          <w:b/>
          <w:szCs w:val="24"/>
          <w:lang w:eastAsia="bg-BG"/>
        </w:rPr>
        <w:t>жизнеспособност</w:t>
      </w:r>
      <w:r w:rsidRPr="00496FD7">
        <w:rPr>
          <w:szCs w:val="24"/>
          <w:lang w:eastAsia="bg-BG"/>
        </w:rPr>
        <w:t xml:space="preserve"> на проекта – наличие на осигурени ресурси за експлоатация и поддръжка на проекта;</w:t>
      </w:r>
    </w:p>
    <w:p w:rsidR="007E360C" w:rsidRPr="00496FD7" w:rsidRDefault="007E360C" w:rsidP="00E80472">
      <w:pPr>
        <w:numPr>
          <w:ilvl w:val="0"/>
          <w:numId w:val="15"/>
        </w:numPr>
        <w:spacing w:before="120"/>
        <w:ind w:left="0" w:firstLine="851"/>
        <w:rPr>
          <w:szCs w:val="24"/>
          <w:lang w:eastAsia="bg-BG"/>
        </w:rPr>
      </w:pPr>
      <w:r w:rsidRPr="00496FD7">
        <w:rPr>
          <w:b/>
          <w:szCs w:val="24"/>
          <w:lang w:eastAsia="bg-BG"/>
        </w:rPr>
        <w:t>На околната среда</w:t>
      </w:r>
      <w:r w:rsidRPr="00496FD7">
        <w:rPr>
          <w:szCs w:val="24"/>
          <w:lang w:eastAsia="bg-BG"/>
        </w:rPr>
        <w:t xml:space="preserve"> - в съответствие с приложимите мерки в  Становището по екологична оценка на ПТС и с влезли в сила крайни актове по реда на глава шеста от ЗООС и/</w:t>
      </w:r>
      <w:r w:rsidR="00FD28E6" w:rsidRPr="00496FD7">
        <w:rPr>
          <w:szCs w:val="24"/>
          <w:lang w:eastAsia="bg-BG"/>
        </w:rPr>
        <w:t xml:space="preserve">или чл. 31 от ЗБР и одобрените </w:t>
      </w:r>
      <w:r w:rsidRPr="00496FD7">
        <w:rPr>
          <w:szCs w:val="24"/>
          <w:lang w:eastAsia="bg-BG"/>
        </w:rPr>
        <w:t>Насоки за интегриране на политиката по околна среда и политиката по изменение на климата в периода 2021-2027 г.</w:t>
      </w:r>
      <w:r w:rsidR="008477E2" w:rsidRPr="00496FD7">
        <w:rPr>
          <w:szCs w:val="24"/>
          <w:lang w:eastAsia="bg-BG"/>
        </w:rPr>
        <w:t xml:space="preserve">, климатична устойчивост, </w:t>
      </w:r>
      <w:r w:rsidR="008477E2" w:rsidRPr="00496FD7">
        <w:rPr>
          <w:szCs w:val="24"/>
          <w:lang w:val="en-US" w:eastAsia="bg-BG"/>
        </w:rPr>
        <w:t>DNSH,</w:t>
      </w:r>
      <w:r w:rsidR="008477E2" w:rsidRPr="00496FD7">
        <w:rPr>
          <w:szCs w:val="24"/>
          <w:lang w:eastAsia="bg-BG"/>
        </w:rPr>
        <w:t xml:space="preserve"> ОВОС/ нетехническо резюме.</w:t>
      </w:r>
    </w:p>
    <w:p w:rsidR="007E360C" w:rsidRPr="00496FD7" w:rsidRDefault="007E360C" w:rsidP="007E360C">
      <w:pPr>
        <w:ind w:left="851"/>
        <w:contextualSpacing/>
        <w:rPr>
          <w:szCs w:val="24"/>
          <w:lang w:eastAsia="bg-BG"/>
        </w:rPr>
      </w:pPr>
    </w:p>
    <w:p w:rsidR="007E360C" w:rsidRPr="00496FD7" w:rsidRDefault="007E360C" w:rsidP="007E360C">
      <w:pPr>
        <w:pStyle w:val="Style2"/>
        <w:rPr>
          <w:lang w:val="bg-BG" w:eastAsia="bg-BG"/>
        </w:rPr>
      </w:pPr>
      <w:bookmarkStart w:id="136" w:name="_Ref409510826"/>
      <w:bookmarkStart w:id="137" w:name="_Toc479775657"/>
      <w:bookmarkStart w:id="138" w:name="_Toc140150218"/>
      <w:bookmarkStart w:id="139" w:name="_Toc152769898"/>
      <w:r w:rsidRPr="00496FD7">
        <w:rPr>
          <w:lang w:val="bg-BG" w:eastAsia="bg-BG"/>
        </w:rPr>
        <w:t xml:space="preserve">Процедура за оценка на </w:t>
      </w:r>
      <w:r w:rsidR="00BE6599" w:rsidRPr="00496FD7">
        <w:rPr>
          <w:lang w:val="bg-BG" w:eastAsia="bg-BG"/>
        </w:rPr>
        <w:t>инвестиционни</w:t>
      </w:r>
      <w:r w:rsidR="00BC2BDA" w:rsidRPr="00496FD7">
        <w:rPr>
          <w:lang w:val="bg-BG" w:eastAsia="bg-BG"/>
        </w:rPr>
        <w:t xml:space="preserve"> </w:t>
      </w:r>
      <w:r w:rsidRPr="00496FD7">
        <w:rPr>
          <w:lang w:val="bg-BG" w:eastAsia="bg-BG"/>
        </w:rPr>
        <w:t>проекти</w:t>
      </w:r>
      <w:bookmarkEnd w:id="136"/>
      <w:bookmarkEnd w:id="137"/>
      <w:bookmarkEnd w:id="138"/>
      <w:bookmarkEnd w:id="139"/>
    </w:p>
    <w:p w:rsidR="007E360C" w:rsidRPr="00496FD7" w:rsidRDefault="007E360C" w:rsidP="007E360C">
      <w:pPr>
        <w:pStyle w:val="Style3"/>
        <w:rPr>
          <w:lang w:val="bg-BG"/>
        </w:rPr>
      </w:pPr>
      <w:bookmarkStart w:id="140" w:name="_Toc479775658"/>
      <w:r w:rsidRPr="00496FD7">
        <w:rPr>
          <w:lang w:val="bg-BG"/>
        </w:rPr>
        <w:t xml:space="preserve">Роля и отговорности в процеса на оценката на </w:t>
      </w:r>
      <w:bookmarkEnd w:id="140"/>
      <w:r w:rsidR="003263F8" w:rsidRPr="00496FD7">
        <w:t>инвестиционни проекти</w:t>
      </w:r>
    </w:p>
    <w:p w:rsidR="007E360C" w:rsidRPr="00496FD7" w:rsidRDefault="007E360C" w:rsidP="007E360C">
      <w:pPr>
        <w:contextualSpacing/>
        <w:rPr>
          <w:szCs w:val="24"/>
        </w:rPr>
      </w:pPr>
    </w:p>
    <w:p w:rsidR="007E360C" w:rsidRPr="00496FD7" w:rsidRDefault="007E360C" w:rsidP="007E360C">
      <w:pPr>
        <w:contextualSpacing/>
        <w:rPr>
          <w:szCs w:val="24"/>
          <w:lang w:eastAsia="bg-BG"/>
        </w:rPr>
      </w:pPr>
      <w:r w:rsidRPr="00496FD7">
        <w:rPr>
          <w:szCs w:val="24"/>
        </w:rPr>
        <w:t xml:space="preserve">Процедурата, описана в настоящата точка се използва при оценката на </w:t>
      </w:r>
      <w:r w:rsidR="00BE6599" w:rsidRPr="00496FD7">
        <w:rPr>
          <w:szCs w:val="24"/>
        </w:rPr>
        <w:t>инвестиционни</w:t>
      </w:r>
      <w:r w:rsidR="003263F8" w:rsidRPr="00496FD7">
        <w:rPr>
          <w:szCs w:val="24"/>
        </w:rPr>
        <w:t xml:space="preserve"> проекти.</w:t>
      </w:r>
      <w:r w:rsidR="00A6118D" w:rsidRPr="00496FD7">
        <w:rPr>
          <w:szCs w:val="24"/>
        </w:rPr>
        <w:t xml:space="preserve"> </w:t>
      </w:r>
      <w:r w:rsidRPr="00496FD7">
        <w:rPr>
          <w:szCs w:val="24"/>
          <w:lang w:eastAsia="bg-BG"/>
        </w:rPr>
        <w:t>Процесът по оценка на получените проектни предложения стартира след подписване и връчване на Решението за сформиране на оценителна комисия на членовете й.</w:t>
      </w:r>
    </w:p>
    <w:p w:rsidR="007E360C" w:rsidRPr="00496FD7" w:rsidRDefault="007E360C" w:rsidP="007E360C">
      <w:pPr>
        <w:pStyle w:val="Style3"/>
        <w:rPr>
          <w:lang w:val="bg-BG" w:eastAsia="bg-BG"/>
        </w:rPr>
      </w:pPr>
      <w:bookmarkStart w:id="141" w:name="_Toc479775659"/>
      <w:r w:rsidRPr="00496FD7">
        <w:rPr>
          <w:lang w:val="bg-BG"/>
        </w:rPr>
        <w:t>Първо заседание на оценителната комисия</w:t>
      </w:r>
      <w:bookmarkEnd w:id="141"/>
      <w:r w:rsidRPr="00496FD7">
        <w:rPr>
          <w:lang w:val="bg-BG"/>
        </w:rPr>
        <w:t xml:space="preserve"> </w:t>
      </w:r>
    </w:p>
    <w:p w:rsidR="007E360C" w:rsidRPr="00496FD7" w:rsidRDefault="007E360C" w:rsidP="0039478F">
      <w:pPr>
        <w:tabs>
          <w:tab w:val="left" w:pos="851"/>
        </w:tabs>
        <w:contextualSpacing/>
        <w:rPr>
          <w:szCs w:val="24"/>
          <w:lang w:eastAsia="bg-BG"/>
        </w:rPr>
      </w:pPr>
      <w:r w:rsidRPr="00496FD7">
        <w:rPr>
          <w:szCs w:val="24"/>
        </w:rPr>
        <w:t>Председателя на оценителната комисия организира провеждането на първо заседание на оценителната комисия и подписване на декларации за липса на конфл</w:t>
      </w:r>
      <w:r w:rsidR="003263F8" w:rsidRPr="00496FD7">
        <w:rPr>
          <w:szCs w:val="24"/>
        </w:rPr>
        <w:t xml:space="preserve">икт на интереси и поверителност </w:t>
      </w:r>
      <w:r w:rsidR="003263F8" w:rsidRPr="00496FD7">
        <w:rPr>
          <w:rStyle w:val="Hyperlink"/>
          <w:i/>
        </w:rPr>
        <w:t>(</w:t>
      </w:r>
      <w:hyperlink r:id="rId42" w:tooltip="Критерии  за осигуряване на информация за инвестиционни¦инфраструктурни проекти при извършването на оценка" w:history="1">
        <w:r w:rsidR="003263F8" w:rsidRPr="00496FD7">
          <w:rPr>
            <w:rStyle w:val="Hyperlink"/>
            <w:i/>
            <w:szCs w:val="24"/>
            <w:lang w:eastAsia="bg-BG"/>
          </w:rPr>
          <w:t>Приложение № 3.0</w:t>
        </w:r>
      </w:hyperlink>
      <w:r w:rsidR="008A5167">
        <w:rPr>
          <w:rStyle w:val="Hyperlink"/>
          <w:i/>
          <w:szCs w:val="24"/>
          <w:lang w:eastAsia="bg-BG"/>
        </w:rPr>
        <w:t>2</w:t>
      </w:r>
      <w:r w:rsidR="003263F8" w:rsidRPr="00496FD7">
        <w:rPr>
          <w:rStyle w:val="Hyperlink"/>
          <w:i/>
          <w:szCs w:val="24"/>
          <w:lang w:eastAsia="bg-BG"/>
        </w:rPr>
        <w:t>)</w:t>
      </w:r>
      <w:r w:rsidRPr="00496FD7">
        <w:rPr>
          <w:b/>
          <w:szCs w:val="24"/>
        </w:rPr>
        <w:t>.</w:t>
      </w:r>
    </w:p>
    <w:p w:rsidR="007E360C" w:rsidRPr="00496FD7" w:rsidRDefault="007E360C" w:rsidP="0039478F">
      <w:pPr>
        <w:tabs>
          <w:tab w:val="left" w:pos="851"/>
        </w:tabs>
        <w:contextualSpacing/>
        <w:rPr>
          <w:szCs w:val="24"/>
          <w:lang w:eastAsia="bg-BG"/>
        </w:rPr>
      </w:pPr>
      <w:r w:rsidRPr="00496FD7">
        <w:rPr>
          <w:szCs w:val="24"/>
        </w:rPr>
        <w:t xml:space="preserve">Председателя на оценителната комисия на първото заседание на комисията запознава всички членове на оценителната комисия с процедурата на оценка  на </w:t>
      </w:r>
      <w:r w:rsidR="00BE6599" w:rsidRPr="00496FD7">
        <w:rPr>
          <w:szCs w:val="24"/>
        </w:rPr>
        <w:t>инвестиционни</w:t>
      </w:r>
      <w:r w:rsidR="003263F8" w:rsidRPr="00496FD7">
        <w:rPr>
          <w:szCs w:val="24"/>
        </w:rPr>
        <w:t xml:space="preserve"> </w:t>
      </w:r>
      <w:r w:rsidRPr="00496FD7">
        <w:rPr>
          <w:szCs w:val="24"/>
        </w:rPr>
        <w:t>предложения при процедури на директно предоставяне на БФП</w:t>
      </w:r>
      <w:r w:rsidR="00AB50FC">
        <w:rPr>
          <w:szCs w:val="24"/>
        </w:rPr>
        <w:t>/ процедури на подбор</w:t>
      </w:r>
      <w:r w:rsidRPr="00496FD7">
        <w:rPr>
          <w:szCs w:val="24"/>
        </w:rPr>
        <w:t xml:space="preserve"> по ПТС, </w:t>
      </w:r>
      <w:r w:rsidRPr="00496FD7">
        <w:rPr>
          <w:szCs w:val="24"/>
          <w:lang w:eastAsia="bg-BG"/>
        </w:rPr>
        <w:t xml:space="preserve">с </w:t>
      </w:r>
      <w:r w:rsidR="007C4548" w:rsidRPr="00496FD7">
        <w:rPr>
          <w:szCs w:val="24"/>
          <w:lang w:eastAsia="bg-BG"/>
        </w:rPr>
        <w:t>Насоките по процедурата</w:t>
      </w:r>
      <w:r w:rsidRPr="00496FD7">
        <w:rPr>
          <w:szCs w:val="24"/>
          <w:lang w:eastAsia="bg-BG"/>
        </w:rPr>
        <w:t>.</w:t>
      </w:r>
    </w:p>
    <w:p w:rsidR="007E360C" w:rsidRPr="00496FD7" w:rsidRDefault="007E360C" w:rsidP="007E360C">
      <w:pPr>
        <w:contextualSpacing/>
        <w:rPr>
          <w:szCs w:val="24"/>
          <w:lang w:eastAsia="bg-BG"/>
        </w:rPr>
      </w:pPr>
    </w:p>
    <w:p w:rsidR="007E360C" w:rsidRPr="00496FD7" w:rsidRDefault="007E360C" w:rsidP="007E360C">
      <w:pPr>
        <w:contextualSpacing/>
        <w:rPr>
          <w:szCs w:val="24"/>
          <w:lang w:eastAsia="bg-BG"/>
        </w:rPr>
      </w:pPr>
      <w:r w:rsidRPr="00496FD7">
        <w:rPr>
          <w:i/>
          <w:szCs w:val="24"/>
          <w:lang w:eastAsia="bg-BG"/>
        </w:rPr>
        <w:t>Срок за изпълнение:</w:t>
      </w:r>
      <w:r w:rsidRPr="00496FD7">
        <w:rPr>
          <w:szCs w:val="24"/>
          <w:lang w:eastAsia="bg-BG"/>
        </w:rPr>
        <w:t xml:space="preserve"> До 3 работни дни от регистриране на решението за сформиране на оценителна комисия</w:t>
      </w:r>
    </w:p>
    <w:p w:rsidR="007E360C" w:rsidRPr="00496FD7" w:rsidRDefault="007E360C" w:rsidP="007E360C">
      <w:pPr>
        <w:contextualSpacing/>
        <w:rPr>
          <w:szCs w:val="24"/>
          <w:lang w:eastAsia="bg-BG"/>
        </w:rPr>
      </w:pPr>
    </w:p>
    <w:p w:rsidR="007E360C" w:rsidRPr="00496FD7" w:rsidRDefault="007E360C" w:rsidP="0039478F">
      <w:pPr>
        <w:tabs>
          <w:tab w:val="left" w:pos="851"/>
        </w:tabs>
        <w:contextualSpacing/>
        <w:rPr>
          <w:szCs w:val="24"/>
          <w:lang w:eastAsia="bg-BG"/>
        </w:rPr>
      </w:pPr>
      <w:r w:rsidRPr="00496FD7">
        <w:rPr>
          <w:szCs w:val="24"/>
          <w:lang w:eastAsia="bg-BG"/>
        </w:rPr>
        <w:t xml:space="preserve">Служител от УО, определен от Ръководителя на УО на ПТС в решението </w:t>
      </w:r>
      <w:r w:rsidR="003263F8" w:rsidRPr="00496FD7">
        <w:rPr>
          <w:szCs w:val="24"/>
          <w:lang w:eastAsia="bg-BG"/>
        </w:rPr>
        <w:t>за сформиране на оценителната комисия</w:t>
      </w:r>
      <w:r w:rsidRPr="00496FD7">
        <w:t xml:space="preserve"> </w:t>
      </w:r>
      <w:r w:rsidRPr="00496FD7">
        <w:rPr>
          <w:szCs w:val="24"/>
          <w:lang w:eastAsia="bg-BG"/>
        </w:rPr>
        <w:t xml:space="preserve">извършва проверката за липса на конфликт на </w:t>
      </w:r>
      <w:r w:rsidRPr="00496FD7">
        <w:rPr>
          <w:szCs w:val="24"/>
        </w:rPr>
        <w:t>интереси</w:t>
      </w:r>
      <w:r w:rsidRPr="00496FD7">
        <w:rPr>
          <w:szCs w:val="24"/>
          <w:lang w:eastAsia="bg-BG"/>
        </w:rPr>
        <w:t xml:space="preserve"> на членовете на оценителната комисия, като спазва </w:t>
      </w:r>
      <w:r w:rsidR="003263F8" w:rsidRPr="00496FD7">
        <w:rPr>
          <w:szCs w:val="24"/>
          <w:lang w:eastAsia="bg-BG"/>
        </w:rPr>
        <w:t xml:space="preserve">описаната </w:t>
      </w:r>
      <w:r w:rsidRPr="00496FD7">
        <w:rPr>
          <w:szCs w:val="24"/>
          <w:lang w:eastAsia="bg-BG"/>
        </w:rPr>
        <w:t>процедура</w:t>
      </w:r>
      <w:r w:rsidR="003263F8" w:rsidRPr="00496FD7">
        <w:rPr>
          <w:szCs w:val="24"/>
          <w:lang w:eastAsia="bg-BG"/>
        </w:rPr>
        <w:t xml:space="preserve"> и</w:t>
      </w:r>
      <w:r w:rsidRPr="00496FD7">
        <w:rPr>
          <w:szCs w:val="24"/>
          <w:lang w:eastAsia="bg-BG"/>
        </w:rPr>
        <w:t xml:space="preserve"> попълва контролен лист </w:t>
      </w:r>
      <w:r w:rsidRPr="00496FD7">
        <w:rPr>
          <w:rStyle w:val="Hyperlink"/>
          <w:i/>
        </w:rPr>
        <w:t>(</w:t>
      </w:r>
      <w:hyperlink r:id="rId43" w:tooltip="Критерии  за осигуряване на информация за инвестиционни¦инфраструктурни проекти при извършването на оценка" w:history="1">
        <w:r w:rsidRPr="00496FD7">
          <w:rPr>
            <w:rStyle w:val="Hyperlink"/>
            <w:i/>
            <w:szCs w:val="24"/>
            <w:lang w:eastAsia="bg-BG"/>
          </w:rPr>
          <w:t>Приложение № 3.0</w:t>
        </w:r>
      </w:hyperlink>
      <w:r w:rsidR="008A5167">
        <w:rPr>
          <w:rStyle w:val="Hyperlink"/>
          <w:i/>
          <w:szCs w:val="24"/>
          <w:lang w:eastAsia="bg-BG"/>
        </w:rPr>
        <w:t>3.1</w:t>
      </w:r>
      <w:r w:rsidRPr="00496FD7">
        <w:rPr>
          <w:rStyle w:val="Hyperlink"/>
          <w:i/>
          <w:szCs w:val="24"/>
          <w:lang w:eastAsia="bg-BG"/>
        </w:rPr>
        <w:t>)</w:t>
      </w:r>
      <w:r w:rsidRPr="00496FD7">
        <w:rPr>
          <w:szCs w:val="24"/>
          <w:lang w:eastAsia="bg-BG"/>
        </w:rPr>
        <w:t xml:space="preserve"> в ИСУН 2020.</w:t>
      </w:r>
    </w:p>
    <w:p w:rsidR="007E360C" w:rsidRPr="00496FD7" w:rsidRDefault="007E360C" w:rsidP="007E360C">
      <w:pPr>
        <w:contextualSpacing/>
        <w:rPr>
          <w:szCs w:val="24"/>
          <w:lang w:eastAsia="bg-BG"/>
        </w:rPr>
      </w:pPr>
    </w:p>
    <w:p w:rsidR="007E360C" w:rsidRPr="00496FD7" w:rsidRDefault="007E360C" w:rsidP="007E360C">
      <w:pPr>
        <w:contextualSpacing/>
        <w:rPr>
          <w:szCs w:val="24"/>
          <w:lang w:eastAsia="bg-BG"/>
        </w:rPr>
      </w:pPr>
      <w:r w:rsidRPr="00496FD7">
        <w:rPr>
          <w:i/>
          <w:szCs w:val="24"/>
          <w:lang w:eastAsia="bg-BG"/>
        </w:rPr>
        <w:t>Срок за изпълнение:</w:t>
      </w:r>
      <w:r w:rsidRPr="00496FD7">
        <w:rPr>
          <w:szCs w:val="24"/>
          <w:lang w:eastAsia="bg-BG"/>
        </w:rPr>
        <w:t xml:space="preserve"> До 4 работни дни от регистриране на Решението за сформиране на оценителна комисия</w:t>
      </w:r>
      <w:r w:rsidRPr="00496FD7">
        <w:rPr>
          <w:b/>
          <w:szCs w:val="24"/>
          <w:lang w:eastAsia="bg-BG"/>
        </w:rPr>
        <w:t>.</w:t>
      </w:r>
    </w:p>
    <w:p w:rsidR="007E360C" w:rsidRPr="00496FD7" w:rsidRDefault="007E360C" w:rsidP="007E360C">
      <w:pPr>
        <w:pStyle w:val="Style3"/>
        <w:rPr>
          <w:lang w:val="bg-BG"/>
        </w:rPr>
      </w:pPr>
      <w:bookmarkStart w:id="142" w:name="_Toc479775660"/>
      <w:r w:rsidRPr="00496FD7">
        <w:rPr>
          <w:lang w:val="bg-BG"/>
        </w:rPr>
        <w:t>Осигуряване на информация необходима при оценката на проектното предложение за инвестиционен проект</w:t>
      </w:r>
      <w:bookmarkEnd w:id="142"/>
    </w:p>
    <w:p w:rsidR="007E360C" w:rsidRPr="00496FD7" w:rsidRDefault="007E360C" w:rsidP="0039478F">
      <w:pPr>
        <w:tabs>
          <w:tab w:val="left" w:pos="851"/>
        </w:tabs>
        <w:contextualSpacing/>
        <w:rPr>
          <w:szCs w:val="24"/>
          <w:lang w:eastAsia="bg-BG"/>
        </w:rPr>
      </w:pPr>
      <w:r w:rsidRPr="00496FD7">
        <w:rPr>
          <w:szCs w:val="24"/>
        </w:rPr>
        <w:t xml:space="preserve">В процеса на оценка членовете на оценителната комисия извършват </w:t>
      </w:r>
      <w:r w:rsidRPr="00496FD7">
        <w:rPr>
          <w:szCs w:val="24"/>
          <w:lang w:eastAsia="bg-BG"/>
        </w:rPr>
        <w:t>проверка на информацията</w:t>
      </w:r>
      <w:r w:rsidRPr="00496FD7">
        <w:rPr>
          <w:rStyle w:val="FootnoteReference"/>
          <w:szCs w:val="24"/>
          <w:lang w:eastAsia="bg-BG"/>
        </w:rPr>
        <w:footnoteReference w:id="4"/>
      </w:r>
      <w:r w:rsidRPr="00496FD7">
        <w:rPr>
          <w:szCs w:val="24"/>
          <w:lang w:eastAsia="bg-BG"/>
        </w:rPr>
        <w:t xml:space="preserve"> във формуляра за кандидатстване за съответствие с критериите и указанията в </w:t>
      </w:r>
      <w:r w:rsidR="007C4548" w:rsidRPr="00496FD7">
        <w:rPr>
          <w:szCs w:val="24"/>
          <w:lang w:eastAsia="bg-BG"/>
        </w:rPr>
        <w:t>Насоките по процедурата</w:t>
      </w:r>
      <w:r w:rsidR="00A6118D" w:rsidRPr="00496FD7">
        <w:rPr>
          <w:szCs w:val="24"/>
          <w:lang w:eastAsia="bg-BG"/>
        </w:rPr>
        <w:t>.</w:t>
      </w:r>
    </w:p>
    <w:p w:rsidR="007E360C" w:rsidRPr="00496FD7" w:rsidRDefault="007E360C" w:rsidP="007E360C">
      <w:pPr>
        <w:contextualSpacing/>
        <w:rPr>
          <w:szCs w:val="24"/>
          <w:lang w:eastAsia="bg-BG"/>
        </w:rPr>
      </w:pPr>
    </w:p>
    <w:p w:rsidR="007E360C" w:rsidRPr="00496FD7" w:rsidRDefault="007E360C" w:rsidP="0039478F">
      <w:pPr>
        <w:tabs>
          <w:tab w:val="left" w:pos="851"/>
        </w:tabs>
        <w:contextualSpacing/>
        <w:rPr>
          <w:szCs w:val="24"/>
          <w:lang w:eastAsia="bg-BG"/>
        </w:rPr>
      </w:pPr>
      <w:r w:rsidRPr="00496FD7">
        <w:rPr>
          <w:szCs w:val="24"/>
          <w:lang w:eastAsia="bg-BG"/>
        </w:rPr>
        <w:t xml:space="preserve">Оценителната комисия извършва проверка на АРП. Процесът е показан на фиг. 2.1. Принципите, методите и критериите представени в АРП се използват за оценка на социално-икономическите разходи и ползи на </w:t>
      </w:r>
      <w:r w:rsidR="00BE6599" w:rsidRPr="00496FD7">
        <w:rPr>
          <w:szCs w:val="24"/>
          <w:lang w:eastAsia="bg-BG"/>
        </w:rPr>
        <w:t>инвестиционни</w:t>
      </w:r>
      <w:r w:rsidR="00A6118D" w:rsidRPr="00496FD7">
        <w:rPr>
          <w:szCs w:val="24"/>
          <w:lang w:eastAsia="bg-BG"/>
        </w:rPr>
        <w:t xml:space="preserve"> </w:t>
      </w:r>
      <w:r w:rsidRPr="00496FD7">
        <w:rPr>
          <w:szCs w:val="24"/>
          <w:lang w:eastAsia="bg-BG"/>
        </w:rPr>
        <w:t>проекти. Резултатите от анализа трябва да покажат, че проектът:</w:t>
      </w:r>
    </w:p>
    <w:p w:rsidR="007E360C" w:rsidRPr="00496FD7" w:rsidRDefault="007E360C" w:rsidP="00E80472">
      <w:pPr>
        <w:pStyle w:val="ListParagraph"/>
        <w:numPr>
          <w:ilvl w:val="0"/>
          <w:numId w:val="11"/>
        </w:numPr>
        <w:rPr>
          <w:szCs w:val="24"/>
          <w:lang w:eastAsia="bg-BG"/>
        </w:rPr>
      </w:pPr>
      <w:r w:rsidRPr="00496FD7">
        <w:rPr>
          <w:szCs w:val="24"/>
          <w:lang w:eastAsia="bg-BG"/>
        </w:rPr>
        <w:t>е в съответствие с целите на програма</w:t>
      </w:r>
      <w:r w:rsidR="00A6118D" w:rsidRPr="00496FD7">
        <w:rPr>
          <w:szCs w:val="24"/>
          <w:lang w:eastAsia="bg-BG"/>
        </w:rPr>
        <w:t>та</w:t>
      </w:r>
      <w:r w:rsidRPr="00496FD7">
        <w:rPr>
          <w:szCs w:val="24"/>
          <w:lang w:eastAsia="bg-BG"/>
        </w:rPr>
        <w:t>;</w:t>
      </w:r>
    </w:p>
    <w:p w:rsidR="007E360C" w:rsidRPr="00496FD7" w:rsidRDefault="007E360C" w:rsidP="00E80472">
      <w:pPr>
        <w:pStyle w:val="ListParagraph"/>
        <w:numPr>
          <w:ilvl w:val="0"/>
          <w:numId w:val="11"/>
        </w:numPr>
        <w:rPr>
          <w:szCs w:val="24"/>
          <w:lang w:eastAsia="bg-BG"/>
        </w:rPr>
      </w:pPr>
      <w:r w:rsidRPr="00496FD7">
        <w:rPr>
          <w:szCs w:val="24"/>
          <w:lang w:eastAsia="bg-BG"/>
        </w:rPr>
        <w:t>доказано има нужда от съфинансиране;</w:t>
      </w:r>
    </w:p>
    <w:p w:rsidR="007E360C" w:rsidRPr="00496FD7" w:rsidRDefault="007E360C" w:rsidP="00E80472">
      <w:pPr>
        <w:pStyle w:val="ListParagraph"/>
        <w:numPr>
          <w:ilvl w:val="0"/>
          <w:numId w:val="11"/>
        </w:numPr>
        <w:rPr>
          <w:szCs w:val="24"/>
          <w:lang w:eastAsia="bg-BG"/>
        </w:rPr>
      </w:pPr>
      <w:r w:rsidRPr="00496FD7">
        <w:rPr>
          <w:szCs w:val="24"/>
          <w:lang w:eastAsia="bg-BG"/>
        </w:rPr>
        <w:t>е социално-икономически ефективен.</w:t>
      </w:r>
    </w:p>
    <w:p w:rsidR="007E360C" w:rsidRPr="00496FD7" w:rsidRDefault="007E360C" w:rsidP="007E360C">
      <w:pPr>
        <w:jc w:val="left"/>
        <w:rPr>
          <w:szCs w:val="24"/>
          <w:lang w:eastAsia="bg-BG"/>
        </w:rPr>
      </w:pPr>
    </w:p>
    <w:p w:rsidR="007E360C" w:rsidRPr="00496FD7" w:rsidRDefault="007E360C" w:rsidP="007E360C">
      <w:pPr>
        <w:contextualSpacing/>
        <w:rPr>
          <w:szCs w:val="24"/>
          <w:lang w:eastAsia="bg-BG"/>
        </w:rPr>
      </w:pPr>
      <w:r w:rsidRPr="00496FD7">
        <w:rPr>
          <w:szCs w:val="24"/>
          <w:lang w:eastAsia="bg-BG"/>
        </w:rPr>
        <w:t xml:space="preserve">Фиг. 2.1 Роля на АРП при оценка на </w:t>
      </w:r>
      <w:r w:rsidR="00BE6599" w:rsidRPr="00496FD7">
        <w:rPr>
          <w:szCs w:val="24"/>
          <w:lang w:eastAsia="bg-BG"/>
        </w:rPr>
        <w:t>инвестиционни</w:t>
      </w:r>
      <w:r w:rsidR="00A6118D" w:rsidRPr="00496FD7">
        <w:rPr>
          <w:szCs w:val="24"/>
          <w:lang w:eastAsia="bg-BG"/>
        </w:rPr>
        <w:t xml:space="preserve"> </w:t>
      </w:r>
      <w:r w:rsidRPr="00496FD7">
        <w:rPr>
          <w:szCs w:val="24"/>
          <w:lang w:eastAsia="bg-BG"/>
        </w:rPr>
        <w:t>проекти</w:t>
      </w:r>
    </w:p>
    <w:p w:rsidR="007E360C" w:rsidRPr="00496FD7" w:rsidRDefault="007E360C" w:rsidP="007E360C">
      <w:pPr>
        <w:jc w:val="left"/>
        <w:rPr>
          <w:szCs w:val="24"/>
          <w:lang w:eastAsia="bg-BG"/>
        </w:rPr>
      </w:pPr>
    </w:p>
    <w:p w:rsidR="007E360C" w:rsidRPr="00496FD7" w:rsidRDefault="007E360C" w:rsidP="007E360C">
      <w:pPr>
        <w:pStyle w:val="ListParagraph"/>
        <w:ind w:left="0" w:firstLine="0"/>
        <w:jc w:val="center"/>
        <w:rPr>
          <w:szCs w:val="24"/>
          <w:lang w:eastAsia="bg-BG"/>
        </w:rPr>
      </w:pPr>
      <w:r w:rsidRPr="00496FD7">
        <w:rPr>
          <w:noProof/>
          <w:lang w:val="en-US" w:eastAsia="en-US"/>
        </w:rPr>
        <w:lastRenderedPageBreak/>
        <mc:AlternateContent>
          <mc:Choice Requires="wpg">
            <w:drawing>
              <wp:inline distT="0" distB="0" distL="0" distR="0" wp14:anchorId="08516141" wp14:editId="350CB1D6">
                <wp:extent cx="5619750" cy="4391025"/>
                <wp:effectExtent l="57150" t="38100" r="76200" b="28575"/>
                <wp:docPr id="443" name="Group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9750" cy="4391025"/>
                          <a:chOff x="-36523" y="0"/>
                          <a:chExt cx="7182665" cy="6389626"/>
                        </a:xfrm>
                      </wpg:grpSpPr>
                      <wps:wsp>
                        <wps:cNvPr id="444" name="Diamond 1784"/>
                        <wps:cNvSpPr>
                          <a:spLocks noChangeArrowheads="1"/>
                        </wps:cNvSpPr>
                        <wps:spPr bwMode="auto">
                          <a:xfrm>
                            <a:off x="0" y="2020186"/>
                            <a:ext cx="7027649" cy="4252209"/>
                          </a:xfrm>
                          <a:prstGeom prst="diamond">
                            <a:avLst/>
                          </a:prstGeom>
                          <a:gradFill rotWithShape="1">
                            <a:gsLst>
                              <a:gs pos="0">
                                <a:srgbClr val="BCBCBC"/>
                              </a:gs>
                              <a:gs pos="35001">
                                <a:srgbClr val="D0D0D0"/>
                              </a:gs>
                              <a:gs pos="100000">
                                <a:srgbClr val="EDEDED"/>
                              </a:gs>
                            </a:gsLst>
                            <a:lin ang="16200000" scaled="1"/>
                          </a:gradFill>
                          <a:ln w="9525" algn="ctr">
                            <a:solidFill>
                              <a:srgbClr val="000000"/>
                            </a:solidFill>
                            <a:miter lim="800000"/>
                            <a:headEnd/>
                            <a:tailEnd/>
                          </a:ln>
                          <a:effectLst>
                            <a:outerShdw blurRad="40000" dist="20000" dir="5400000" rotWithShape="0">
                              <a:srgbClr val="000000">
                                <a:alpha val="37999"/>
                              </a:srgbClr>
                            </a:outerShdw>
                          </a:effectLst>
                        </wps:spPr>
                        <wps:bodyPr rot="0" vert="horz" wrap="square" lIns="91440" tIns="45720" rIns="91440" bIns="45720" anchor="ctr" anchorCtr="0" upright="1">
                          <a:noAutofit/>
                        </wps:bodyPr>
                      </wps:wsp>
                      <wpg:grpSp>
                        <wpg:cNvPr id="446" name="Group 1783"/>
                        <wpg:cNvGrpSpPr>
                          <a:grpSpLocks/>
                        </wpg:cNvGrpSpPr>
                        <wpg:grpSpPr bwMode="auto">
                          <a:xfrm>
                            <a:off x="-36523" y="0"/>
                            <a:ext cx="7182665" cy="6389626"/>
                            <a:chOff x="-398030" y="0"/>
                            <a:chExt cx="7182665" cy="6389626"/>
                          </a:xfrm>
                        </wpg:grpSpPr>
                        <wpg:grpSp>
                          <wpg:cNvPr id="447" name="Group 1782"/>
                          <wpg:cNvGrpSpPr>
                            <a:grpSpLocks/>
                          </wpg:cNvGrpSpPr>
                          <wpg:grpSpPr bwMode="auto">
                            <a:xfrm>
                              <a:off x="1233289" y="5220586"/>
                              <a:ext cx="4273078" cy="1169040"/>
                              <a:chOff x="-265902" y="0"/>
                              <a:chExt cx="4273078" cy="1169040"/>
                            </a:xfrm>
                          </wpg:grpSpPr>
                          <wps:wsp>
                            <wps:cNvPr id="1920" name="Oval 1762"/>
                            <wps:cNvSpPr>
                              <a:spLocks noChangeArrowheads="1"/>
                            </wps:cNvSpPr>
                            <wps:spPr bwMode="auto">
                              <a:xfrm>
                                <a:off x="1733003" y="307979"/>
                                <a:ext cx="2274173" cy="861061"/>
                              </a:xfrm>
                              <a:prstGeom prst="ellipse">
                                <a:avLst/>
                              </a:prstGeom>
                              <a:solidFill>
                                <a:srgbClr val="FFFFFF"/>
                              </a:solidFill>
                              <a:ln w="25400" algn="ctr">
                                <a:solidFill>
                                  <a:srgbClr val="4F81BD"/>
                                </a:solidFill>
                                <a:round/>
                                <a:headEnd/>
                                <a:tailEnd/>
                              </a:ln>
                            </wps:spPr>
                            <wps:txbx>
                              <w:txbxContent>
                                <w:p w:rsidR="00CD7E74" w:rsidRPr="00F23A68" w:rsidRDefault="00CD7E74" w:rsidP="007E360C">
                                  <w:pPr>
                                    <w:ind w:firstLine="0"/>
                                    <w:jc w:val="center"/>
                                    <w:rPr>
                                      <w:b/>
                                      <w:sz w:val="20"/>
                                    </w:rPr>
                                  </w:pPr>
                                  <w:r w:rsidRPr="00F23A68">
                                    <w:rPr>
                                      <w:sz w:val="20"/>
                                    </w:rPr>
                                    <w:t xml:space="preserve">Финансирането от ЕС </w:t>
                                  </w:r>
                                  <w:r w:rsidRPr="00F23A68">
                                    <w:rPr>
                                      <w:b/>
                                      <w:sz w:val="20"/>
                                    </w:rPr>
                                    <w:t>е</w:t>
                                  </w:r>
                                  <w:r w:rsidRPr="00F23A68">
                                    <w:rPr>
                                      <w:sz w:val="20"/>
                                    </w:rPr>
                                    <w:t xml:space="preserve"> </w:t>
                                  </w:r>
                                  <w:r w:rsidRPr="00F23A68">
                                    <w:rPr>
                                      <w:b/>
                                      <w:sz w:val="20"/>
                                    </w:rPr>
                                    <w:t xml:space="preserve">обосновано </w:t>
                                  </w:r>
                                </w:p>
                              </w:txbxContent>
                            </wps:txbx>
                            <wps:bodyPr rot="0" vert="horz" wrap="square" lIns="91440" tIns="45720" rIns="91440" bIns="45720" anchor="ctr" anchorCtr="0" upright="1">
                              <a:noAutofit/>
                            </wps:bodyPr>
                          </wps:wsp>
                          <wps:wsp>
                            <wps:cNvPr id="1921" name="Rounded Rectangle 1763"/>
                            <wps:cNvSpPr>
                              <a:spLocks noChangeArrowheads="1"/>
                            </wps:cNvSpPr>
                            <wps:spPr bwMode="auto">
                              <a:xfrm>
                                <a:off x="-265902" y="276448"/>
                                <a:ext cx="1764503" cy="775970"/>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F23A68" w:rsidRDefault="00CD7E74" w:rsidP="007E360C">
                                  <w:pPr>
                                    <w:ind w:firstLine="0"/>
                                    <w:jc w:val="center"/>
                                    <w:rPr>
                                      <w:b/>
                                      <w:color w:val="FF0000"/>
                                      <w:sz w:val="20"/>
                                      <w:lang w:val="en-US"/>
                                    </w:rPr>
                                  </w:pPr>
                                  <w:r w:rsidRPr="00F23A68">
                                    <w:rPr>
                                      <w:b/>
                                      <w:color w:val="FF0000"/>
                                      <w:sz w:val="20"/>
                                    </w:rPr>
                                    <w:t>Изчисление на финансиране от ЕС</w:t>
                                  </w:r>
                                </w:p>
                              </w:txbxContent>
                            </wps:txbx>
                            <wps:bodyPr rot="0" vert="horz" wrap="square" lIns="91440" tIns="45720" rIns="91440" bIns="45720" anchor="ctr" anchorCtr="0" upright="1">
                              <a:noAutofit/>
                            </wps:bodyPr>
                          </wps:wsp>
                          <wps:wsp>
                            <wps:cNvPr id="1922" name="Straight Arrow Connector 1765"/>
                            <wps:cNvCnPr>
                              <a:cxnSpLocks noChangeShapeType="1"/>
                            </wps:cNvCnPr>
                            <wps:spPr bwMode="auto">
                              <a:xfrm flipH="1">
                                <a:off x="2530549" y="0"/>
                                <a:ext cx="0" cy="276225"/>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s:wsp>
                            <wps:cNvPr id="1926" name="Straight Arrow Connector 1774"/>
                            <wps:cNvCnPr>
                              <a:cxnSpLocks noChangeShapeType="1"/>
                            </wps:cNvCnPr>
                            <wps:spPr bwMode="auto">
                              <a:xfrm flipH="1">
                                <a:off x="1499191" y="733647"/>
                                <a:ext cx="233680" cy="0"/>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g:grpSp>
                        <wpg:grpSp>
                          <wpg:cNvPr id="1927" name="Group 1781"/>
                          <wpg:cNvGrpSpPr>
                            <a:grpSpLocks/>
                          </wpg:cNvGrpSpPr>
                          <wpg:grpSpPr bwMode="auto">
                            <a:xfrm>
                              <a:off x="-276287" y="3838354"/>
                              <a:ext cx="5429606" cy="1552043"/>
                              <a:chOff x="-329450" y="0"/>
                              <a:chExt cx="5429606" cy="1552043"/>
                            </a:xfrm>
                          </wpg:grpSpPr>
                          <wps:wsp>
                            <wps:cNvPr id="1928" name="Rounded Rectangle 1758"/>
                            <wps:cNvSpPr>
                              <a:spLocks noChangeArrowheads="1"/>
                            </wps:cNvSpPr>
                            <wps:spPr bwMode="auto">
                              <a:xfrm>
                                <a:off x="1839433" y="0"/>
                                <a:ext cx="3260723" cy="467360"/>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F23A68" w:rsidRDefault="00CD7E74" w:rsidP="007E360C">
                                  <w:pPr>
                                    <w:ind w:firstLine="0"/>
                                    <w:jc w:val="center"/>
                                    <w:rPr>
                                      <w:sz w:val="20"/>
                                    </w:rPr>
                                  </w:pPr>
                                  <w:r w:rsidRPr="00F23A68">
                                    <w:rPr>
                                      <w:sz w:val="20"/>
                                    </w:rPr>
                                    <w:t>Проектът се нуждае от съфинансиране</w:t>
                                  </w:r>
                                </w:p>
                                <w:p w:rsidR="00CD7E74" w:rsidRPr="00F23A68" w:rsidRDefault="00CD7E74" w:rsidP="007E360C">
                                  <w:pPr>
                                    <w:ind w:firstLine="0"/>
                                    <w:jc w:val="center"/>
                                    <w:rPr>
                                      <w:sz w:val="20"/>
                                    </w:rPr>
                                  </w:pPr>
                                </w:p>
                              </w:txbxContent>
                            </wps:txbx>
                            <wps:bodyPr rot="0" vert="horz" wrap="square" lIns="91440" tIns="45720" rIns="91440" bIns="45720" anchor="ctr" anchorCtr="0" upright="1">
                              <a:noAutofit/>
                            </wps:bodyPr>
                          </wps:wsp>
                          <wps:wsp>
                            <wps:cNvPr id="1929" name="Rounded Rectangle 1759"/>
                            <wps:cNvSpPr>
                              <a:spLocks noChangeArrowheads="1"/>
                            </wps:cNvSpPr>
                            <wps:spPr bwMode="auto">
                              <a:xfrm>
                                <a:off x="1743679" y="754609"/>
                                <a:ext cx="1052592" cy="626745"/>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F23A68" w:rsidRDefault="00CD7E74" w:rsidP="007E360C">
                                  <w:pPr>
                                    <w:ind w:firstLine="0"/>
                                    <w:jc w:val="center"/>
                                    <w:rPr>
                                      <w:sz w:val="20"/>
                                    </w:rPr>
                                  </w:pPr>
                                  <w:r w:rsidRPr="00F23A68">
                                    <w:rPr>
                                      <w:sz w:val="20"/>
                                    </w:rPr>
                                    <w:t xml:space="preserve">ИННС </w:t>
                                  </w:r>
                                  <w:r w:rsidRPr="00F23A68">
                                    <w:rPr>
                                      <w:sz w:val="20"/>
                                      <w:lang w:val="en-US"/>
                                    </w:rPr>
                                    <w:t>&lt;</w:t>
                                  </w:r>
                                  <w:r w:rsidRPr="00F23A68">
                                    <w:rPr>
                                      <w:sz w:val="20"/>
                                    </w:rPr>
                                    <w:t xml:space="preserve"> 0</w:t>
                                  </w:r>
                                </w:p>
                                <w:p w:rsidR="00CD7E74" w:rsidRPr="00F23A68" w:rsidRDefault="00CD7E74" w:rsidP="007E360C">
                                  <w:pPr>
                                    <w:ind w:firstLine="0"/>
                                    <w:jc w:val="center"/>
                                    <w:rPr>
                                      <w:b/>
                                      <w:sz w:val="20"/>
                                      <w:lang w:val="en-US"/>
                                    </w:rPr>
                                  </w:pPr>
                                  <w:r w:rsidRPr="00F23A68">
                                    <w:rPr>
                                      <w:sz w:val="20"/>
                                    </w:rPr>
                                    <w:t>Е</w:t>
                                  </w:r>
                                  <w:r w:rsidRPr="00F23A68">
                                    <w:rPr>
                                      <w:sz w:val="20"/>
                                      <w:lang w:val="en-US"/>
                                    </w:rPr>
                                    <w:t>NPV  &lt; 0</w:t>
                                  </w:r>
                                </w:p>
                              </w:txbxContent>
                            </wps:txbx>
                            <wps:bodyPr rot="0" vert="horz" wrap="square" lIns="91440" tIns="45720" rIns="91440" bIns="45720" anchor="ctr" anchorCtr="0" upright="1">
                              <a:noAutofit/>
                            </wps:bodyPr>
                          </wps:wsp>
                          <wps:wsp>
                            <wps:cNvPr id="1930" name="Rounded Rectangle 1760"/>
                            <wps:cNvSpPr>
                              <a:spLocks noChangeArrowheads="1"/>
                            </wps:cNvSpPr>
                            <wps:spPr bwMode="auto">
                              <a:xfrm>
                                <a:off x="3519263" y="765242"/>
                                <a:ext cx="1019619" cy="616585"/>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F23A68" w:rsidRDefault="00CD7E74" w:rsidP="007E360C">
                                  <w:pPr>
                                    <w:ind w:firstLine="0"/>
                                    <w:jc w:val="center"/>
                                    <w:rPr>
                                      <w:sz w:val="20"/>
                                    </w:rPr>
                                  </w:pPr>
                                  <w:r w:rsidRPr="00F23A68">
                                    <w:rPr>
                                      <w:sz w:val="20"/>
                                    </w:rPr>
                                    <w:t xml:space="preserve">ИННС </w:t>
                                  </w:r>
                                  <w:r w:rsidRPr="00F23A68">
                                    <w:rPr>
                                      <w:sz w:val="20"/>
                                      <w:lang w:val="en-US"/>
                                    </w:rPr>
                                    <w:t>&gt;</w:t>
                                  </w:r>
                                  <w:r w:rsidRPr="00F23A68">
                                    <w:rPr>
                                      <w:sz w:val="20"/>
                                    </w:rPr>
                                    <w:t xml:space="preserve"> </w:t>
                                  </w:r>
                                  <w:r w:rsidRPr="00F23A68">
                                    <w:rPr>
                                      <w:sz w:val="20"/>
                                      <w:lang w:val="en-US"/>
                                    </w:rPr>
                                    <w:t>0</w:t>
                                  </w:r>
                                </w:p>
                                <w:p w:rsidR="00CD7E74" w:rsidRPr="00F23A68" w:rsidRDefault="00CD7E74" w:rsidP="007E360C">
                                  <w:pPr>
                                    <w:ind w:firstLine="0"/>
                                    <w:jc w:val="center"/>
                                    <w:rPr>
                                      <w:b/>
                                      <w:sz w:val="20"/>
                                    </w:rPr>
                                  </w:pPr>
                                  <w:r w:rsidRPr="00F23A68">
                                    <w:rPr>
                                      <w:sz w:val="20"/>
                                    </w:rPr>
                                    <w:t>Е</w:t>
                                  </w:r>
                                  <w:r w:rsidRPr="00F23A68">
                                    <w:rPr>
                                      <w:sz w:val="20"/>
                                      <w:lang w:val="en-US"/>
                                    </w:rPr>
                                    <w:t>NPV &gt;</w:t>
                                  </w:r>
                                  <w:r w:rsidRPr="00F23A68">
                                    <w:rPr>
                                      <w:sz w:val="20"/>
                                    </w:rPr>
                                    <w:t xml:space="preserve"> </w:t>
                                  </w:r>
                                  <w:r w:rsidRPr="00F23A68">
                                    <w:rPr>
                                      <w:sz w:val="20"/>
                                      <w:lang w:val="en-US"/>
                                    </w:rPr>
                                    <w:t>0</w:t>
                                  </w:r>
                                </w:p>
                              </w:txbxContent>
                            </wps:txbx>
                            <wps:bodyPr rot="0" vert="horz" wrap="square" lIns="91440" tIns="45720" rIns="91440" bIns="45720" anchor="ctr" anchorCtr="0" upright="1">
                              <a:noAutofit/>
                            </wps:bodyPr>
                          </wps:wsp>
                          <wps:wsp>
                            <wps:cNvPr id="1931" name="Oval 1761"/>
                            <wps:cNvSpPr>
                              <a:spLocks noChangeArrowheads="1"/>
                            </wps:cNvSpPr>
                            <wps:spPr bwMode="auto">
                              <a:xfrm>
                                <a:off x="-329450" y="292034"/>
                                <a:ext cx="1785506" cy="1260009"/>
                              </a:xfrm>
                              <a:prstGeom prst="ellipse">
                                <a:avLst/>
                              </a:prstGeom>
                              <a:solidFill>
                                <a:srgbClr val="FFFFFF"/>
                              </a:solidFill>
                              <a:ln w="25400" algn="ctr">
                                <a:solidFill>
                                  <a:srgbClr val="4F81BD"/>
                                </a:solidFill>
                                <a:round/>
                                <a:headEnd/>
                                <a:tailEnd/>
                              </a:ln>
                            </wps:spPr>
                            <wps:txbx>
                              <w:txbxContent>
                                <w:p w:rsidR="00CD7E74" w:rsidRPr="00F23A68" w:rsidRDefault="00CD7E74" w:rsidP="007E360C">
                                  <w:pPr>
                                    <w:ind w:firstLine="0"/>
                                    <w:jc w:val="center"/>
                                    <w:rPr>
                                      <w:sz w:val="20"/>
                                    </w:rPr>
                                  </w:pPr>
                                  <w:r w:rsidRPr="00F23A68">
                                    <w:rPr>
                                      <w:sz w:val="20"/>
                                    </w:rPr>
                                    <w:t xml:space="preserve">Финансиране от ЕС </w:t>
                                  </w:r>
                                  <w:r w:rsidRPr="00F23A68">
                                    <w:rPr>
                                      <w:b/>
                                      <w:sz w:val="20"/>
                                    </w:rPr>
                                    <w:t>не е</w:t>
                                  </w:r>
                                  <w:r w:rsidRPr="00F23A68">
                                    <w:rPr>
                                      <w:sz w:val="20"/>
                                    </w:rPr>
                                    <w:t xml:space="preserve"> обосновано </w:t>
                                  </w:r>
                                </w:p>
                              </w:txbxContent>
                            </wps:txbx>
                            <wps:bodyPr rot="0" vert="horz" wrap="square" lIns="91440" tIns="45720" rIns="91440" bIns="45720" anchor="ctr" anchorCtr="0" upright="1">
                              <a:noAutofit/>
                            </wps:bodyPr>
                          </wps:wsp>
                          <wps:wsp>
                            <wps:cNvPr id="1932" name="Straight Arrow Connector 1769"/>
                            <wps:cNvCnPr>
                              <a:cxnSpLocks noChangeShapeType="1"/>
                            </wps:cNvCnPr>
                            <wps:spPr bwMode="auto">
                              <a:xfrm>
                                <a:off x="3604437" y="520995"/>
                                <a:ext cx="307340" cy="201472"/>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s:wsp>
                            <wps:cNvPr id="1933" name="Straight Arrow Connector 1770"/>
                            <wps:cNvCnPr>
                              <a:cxnSpLocks noChangeShapeType="1"/>
                            </wps:cNvCnPr>
                            <wps:spPr bwMode="auto">
                              <a:xfrm flipH="1">
                                <a:off x="2179674" y="520995"/>
                                <a:ext cx="287020" cy="180340"/>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s:wsp>
                            <wps:cNvPr id="1934" name="Straight Arrow Connector 1776"/>
                            <wps:cNvCnPr>
                              <a:cxnSpLocks noChangeShapeType="1"/>
                            </wps:cNvCnPr>
                            <wps:spPr bwMode="auto">
                              <a:xfrm flipH="1">
                                <a:off x="1488558" y="1052623"/>
                                <a:ext cx="233680" cy="0"/>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g:grpSp>
                        <wpg:grpSp>
                          <wpg:cNvPr id="1935" name="Group 1780"/>
                          <wpg:cNvGrpSpPr>
                            <a:grpSpLocks/>
                          </wpg:cNvGrpSpPr>
                          <wpg:grpSpPr bwMode="auto">
                            <a:xfrm>
                              <a:off x="-398030" y="0"/>
                              <a:ext cx="7182665" cy="3763616"/>
                              <a:chOff x="-398030" y="0"/>
                              <a:chExt cx="7182665" cy="3763616"/>
                            </a:xfrm>
                          </wpg:grpSpPr>
                          <wps:wsp>
                            <wps:cNvPr id="1936" name="Oval 1754"/>
                            <wps:cNvSpPr>
                              <a:spLocks noChangeArrowheads="1"/>
                            </wps:cNvSpPr>
                            <wps:spPr bwMode="auto">
                              <a:xfrm>
                                <a:off x="1935126" y="2243470"/>
                                <a:ext cx="2327910" cy="541655"/>
                              </a:xfrm>
                              <a:prstGeom prst="ellipse">
                                <a:avLst/>
                              </a:prstGeom>
                              <a:solidFill>
                                <a:srgbClr val="FFFFFF"/>
                              </a:solidFill>
                              <a:ln w="25400" algn="ctr">
                                <a:solidFill>
                                  <a:srgbClr val="4F81BD"/>
                                </a:solidFill>
                                <a:round/>
                                <a:headEnd/>
                                <a:tailEnd/>
                              </a:ln>
                            </wps:spPr>
                            <wps:txbx>
                              <w:txbxContent>
                                <w:p w:rsidR="00CD7E74" w:rsidRPr="00F23A68" w:rsidRDefault="00CD7E74" w:rsidP="007E360C">
                                  <w:pPr>
                                    <w:ind w:firstLine="0"/>
                                    <w:jc w:val="center"/>
                                    <w:rPr>
                                      <w:sz w:val="20"/>
                                    </w:rPr>
                                  </w:pPr>
                                  <w:r w:rsidRPr="00F23A68">
                                    <w:rPr>
                                      <w:sz w:val="20"/>
                                    </w:rPr>
                                    <w:t xml:space="preserve">Оценка на финансовите и икономически показатели </w:t>
                                  </w:r>
                                </w:p>
                              </w:txbxContent>
                            </wps:txbx>
                            <wps:bodyPr rot="0" vert="horz" wrap="square" lIns="91440" tIns="45720" rIns="91440" bIns="45720" anchor="ctr" anchorCtr="0" upright="1">
                              <a:noAutofit/>
                            </wps:bodyPr>
                          </wps:wsp>
                          <wps:wsp>
                            <wps:cNvPr id="1937" name="Rounded Rectangle 1755"/>
                            <wps:cNvSpPr>
                              <a:spLocks noChangeArrowheads="1"/>
                            </wps:cNvSpPr>
                            <wps:spPr bwMode="auto">
                              <a:xfrm>
                                <a:off x="1647905" y="3068823"/>
                                <a:ext cx="1403422" cy="637540"/>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F23A68" w:rsidRDefault="00CD7E74" w:rsidP="007E360C">
                                  <w:pPr>
                                    <w:ind w:firstLine="0"/>
                                    <w:jc w:val="center"/>
                                    <w:rPr>
                                      <w:sz w:val="20"/>
                                    </w:rPr>
                                  </w:pPr>
                                  <w:r w:rsidRPr="00F23A68">
                                    <w:rPr>
                                      <w:sz w:val="20"/>
                                    </w:rPr>
                                    <w:t xml:space="preserve">ФННС </w:t>
                                  </w:r>
                                  <w:r w:rsidRPr="00F23A68">
                                    <w:rPr>
                                      <w:sz w:val="20"/>
                                      <w:lang w:val="en-US"/>
                                    </w:rPr>
                                    <w:t>&gt;</w:t>
                                  </w:r>
                                  <w:r w:rsidRPr="00F23A68">
                                    <w:rPr>
                                      <w:sz w:val="20"/>
                                    </w:rPr>
                                    <w:t xml:space="preserve"> 0</w:t>
                                  </w:r>
                                </w:p>
                                <w:p w:rsidR="00CD7E74" w:rsidRPr="00F23A68" w:rsidRDefault="00CD7E74" w:rsidP="007E360C">
                                  <w:pPr>
                                    <w:ind w:firstLine="0"/>
                                    <w:jc w:val="center"/>
                                    <w:rPr>
                                      <w:b/>
                                      <w:sz w:val="20"/>
                                      <w:lang w:val="en-US"/>
                                    </w:rPr>
                                  </w:pPr>
                                  <w:r w:rsidRPr="00F23A68">
                                    <w:rPr>
                                      <w:sz w:val="20"/>
                                      <w:lang w:val="en-US"/>
                                    </w:rPr>
                                    <w:t>FNPV(C) &gt; 0</w:t>
                                  </w:r>
                                </w:p>
                              </w:txbxContent>
                            </wps:txbx>
                            <wps:bodyPr rot="0" vert="horz" wrap="square" lIns="91440" tIns="45720" rIns="91440" bIns="45720" anchor="ctr" anchorCtr="0" upright="1">
                              <a:noAutofit/>
                            </wps:bodyPr>
                          </wps:wsp>
                          <wps:wsp>
                            <wps:cNvPr id="1938" name="Rounded Rectangle 1756"/>
                            <wps:cNvSpPr>
                              <a:spLocks noChangeArrowheads="1"/>
                            </wps:cNvSpPr>
                            <wps:spPr bwMode="auto">
                              <a:xfrm>
                                <a:off x="3583060" y="2923761"/>
                                <a:ext cx="1497215" cy="616274"/>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F23A68" w:rsidRDefault="00CD7E74" w:rsidP="007E360C">
                                  <w:pPr>
                                    <w:ind w:firstLine="0"/>
                                    <w:jc w:val="center"/>
                                    <w:rPr>
                                      <w:sz w:val="20"/>
                                    </w:rPr>
                                  </w:pPr>
                                  <w:r w:rsidRPr="00F23A68">
                                    <w:rPr>
                                      <w:sz w:val="20"/>
                                    </w:rPr>
                                    <w:t xml:space="preserve">ФННС </w:t>
                                  </w:r>
                                  <w:r w:rsidRPr="00F23A68">
                                    <w:rPr>
                                      <w:sz w:val="20"/>
                                      <w:lang w:val="en-US"/>
                                    </w:rPr>
                                    <w:t>&lt; 0</w:t>
                                  </w:r>
                                </w:p>
                                <w:p w:rsidR="00CD7E74" w:rsidRPr="00F23A68" w:rsidRDefault="00CD7E74" w:rsidP="007E360C">
                                  <w:pPr>
                                    <w:ind w:firstLine="0"/>
                                    <w:jc w:val="center"/>
                                    <w:rPr>
                                      <w:b/>
                                      <w:sz w:val="20"/>
                                    </w:rPr>
                                  </w:pPr>
                                  <w:r w:rsidRPr="00F23A68">
                                    <w:rPr>
                                      <w:sz w:val="20"/>
                                      <w:lang w:val="en-US"/>
                                    </w:rPr>
                                    <w:t>FNPV(C)  &lt; 0</w:t>
                                  </w:r>
                                </w:p>
                              </w:txbxContent>
                            </wps:txbx>
                            <wps:bodyPr rot="0" vert="horz" wrap="square" lIns="91440" tIns="45720" rIns="91440" bIns="45720" anchor="ctr" anchorCtr="0" upright="1">
                              <a:noAutofit/>
                            </wps:bodyPr>
                          </wps:wsp>
                          <wps:wsp>
                            <wps:cNvPr id="1939" name="Oval 1757"/>
                            <wps:cNvSpPr>
                              <a:spLocks noChangeArrowheads="1"/>
                            </wps:cNvSpPr>
                            <wps:spPr bwMode="auto">
                              <a:xfrm>
                                <a:off x="-215420" y="2360088"/>
                                <a:ext cx="1680012" cy="1403528"/>
                              </a:xfrm>
                              <a:prstGeom prst="ellipse">
                                <a:avLst/>
                              </a:prstGeom>
                              <a:solidFill>
                                <a:srgbClr val="FFFFFF"/>
                              </a:solidFill>
                              <a:ln w="25400" algn="ctr">
                                <a:solidFill>
                                  <a:srgbClr val="4F81BD"/>
                                </a:solidFill>
                                <a:round/>
                                <a:headEnd/>
                                <a:tailEnd/>
                              </a:ln>
                            </wps:spPr>
                            <wps:txbx>
                              <w:txbxContent>
                                <w:p w:rsidR="00CD7E74" w:rsidRPr="00F23A68" w:rsidRDefault="00CD7E74" w:rsidP="007E360C">
                                  <w:pPr>
                                    <w:ind w:firstLine="0"/>
                                    <w:jc w:val="center"/>
                                    <w:rPr>
                                      <w:sz w:val="20"/>
                                    </w:rPr>
                                  </w:pPr>
                                  <w:r w:rsidRPr="00F23A68">
                                    <w:rPr>
                                      <w:sz w:val="20"/>
                                    </w:rPr>
                                    <w:t xml:space="preserve">Проектът </w:t>
                                  </w:r>
                                </w:p>
                                <w:p w:rsidR="00CD7E74" w:rsidRPr="00F23A68" w:rsidRDefault="00CD7E74" w:rsidP="007E360C">
                                  <w:pPr>
                                    <w:ind w:firstLine="0"/>
                                    <w:jc w:val="center"/>
                                    <w:rPr>
                                      <w:sz w:val="20"/>
                                    </w:rPr>
                                  </w:pPr>
                                  <w:r w:rsidRPr="00F23A68">
                                    <w:rPr>
                                      <w:b/>
                                      <w:sz w:val="20"/>
                                    </w:rPr>
                                    <w:t xml:space="preserve">не се </w:t>
                                  </w:r>
                                  <w:r w:rsidRPr="00F23A68">
                                    <w:rPr>
                                      <w:sz w:val="20"/>
                                    </w:rPr>
                                    <w:t xml:space="preserve">нуждае от финансиране </w:t>
                                  </w:r>
                                </w:p>
                              </w:txbxContent>
                            </wps:txbx>
                            <wps:bodyPr rot="0" vert="horz" wrap="square" lIns="91440" tIns="45720" rIns="91440" bIns="45720" anchor="ctr" anchorCtr="0" upright="1">
                              <a:noAutofit/>
                            </wps:bodyPr>
                          </wps:wsp>
                          <wps:wsp>
                            <wps:cNvPr id="1941" name="Straight Arrow Connector 1771"/>
                            <wps:cNvCnPr>
                              <a:cxnSpLocks noChangeShapeType="1"/>
                            </wps:cNvCnPr>
                            <wps:spPr bwMode="auto">
                              <a:xfrm flipH="1">
                                <a:off x="2849526" y="2828261"/>
                                <a:ext cx="287020" cy="180340"/>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s:wsp>
                            <wps:cNvPr id="1942" name="Straight Arrow Connector 1772"/>
                            <wps:cNvCnPr>
                              <a:cxnSpLocks noChangeShapeType="1"/>
                            </wps:cNvCnPr>
                            <wps:spPr bwMode="auto">
                              <a:xfrm>
                                <a:off x="3242930" y="2828261"/>
                                <a:ext cx="265430" cy="201930"/>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s:wsp>
                            <wps:cNvPr id="1943" name="Straight Arrow Connector 1773"/>
                            <wps:cNvCnPr>
                              <a:cxnSpLocks noChangeShapeType="1"/>
                            </wps:cNvCnPr>
                            <wps:spPr bwMode="auto">
                              <a:xfrm flipH="1">
                                <a:off x="3678865" y="3583172"/>
                                <a:ext cx="287020" cy="180340"/>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s:wsp>
                            <wps:cNvPr id="1944" name="Straight Arrow Connector 1775"/>
                            <wps:cNvCnPr>
                              <a:cxnSpLocks noChangeShapeType="1"/>
                            </wps:cNvCnPr>
                            <wps:spPr bwMode="auto">
                              <a:xfrm flipH="1">
                                <a:off x="1399663" y="3242930"/>
                                <a:ext cx="233680" cy="0"/>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g:grpSp>
                            <wpg:cNvPr id="1945" name="Group 1779"/>
                            <wpg:cNvGrpSpPr>
                              <a:grpSpLocks/>
                            </wpg:cNvGrpSpPr>
                            <wpg:grpSpPr bwMode="auto">
                              <a:xfrm>
                                <a:off x="-398030" y="0"/>
                                <a:ext cx="7182665" cy="2564167"/>
                                <a:chOff x="-1695202" y="0"/>
                                <a:chExt cx="7182665" cy="2564167"/>
                              </a:xfrm>
                            </wpg:grpSpPr>
                            <wps:wsp>
                              <wps:cNvPr id="1946" name="Rounded Rectangle 1715"/>
                              <wps:cNvSpPr>
                                <a:spLocks noChangeArrowheads="1"/>
                              </wps:cNvSpPr>
                              <wps:spPr bwMode="auto">
                                <a:xfrm>
                                  <a:off x="595424" y="0"/>
                                  <a:ext cx="2423795" cy="499110"/>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F23A68" w:rsidRDefault="00CD7E74" w:rsidP="007E360C">
                                    <w:pPr>
                                      <w:ind w:firstLine="0"/>
                                      <w:jc w:val="center"/>
                                      <w:rPr>
                                        <w:sz w:val="20"/>
                                      </w:rPr>
                                    </w:pPr>
                                    <w:r w:rsidRPr="00F23A68">
                                      <w:rPr>
                                        <w:sz w:val="20"/>
                                      </w:rPr>
                                      <w:t>АРП резултати</w:t>
                                    </w:r>
                                  </w:p>
                                </w:txbxContent>
                              </wps:txbx>
                              <wps:bodyPr rot="0" vert="horz" wrap="square" lIns="91440" tIns="45720" rIns="91440" bIns="45720" anchor="ctr" anchorCtr="0" upright="1">
                                <a:noAutofit/>
                              </wps:bodyPr>
                            </wps:wsp>
                            <wps:wsp>
                              <wps:cNvPr id="1947" name="Oval 1750"/>
                              <wps:cNvSpPr>
                                <a:spLocks noChangeArrowheads="1"/>
                              </wps:cNvSpPr>
                              <wps:spPr bwMode="auto">
                                <a:xfrm>
                                  <a:off x="637954" y="776177"/>
                                  <a:ext cx="2327910" cy="541655"/>
                                </a:xfrm>
                                <a:prstGeom prst="ellipse">
                                  <a:avLst/>
                                </a:prstGeom>
                                <a:solidFill>
                                  <a:srgbClr val="FFFFFF"/>
                                </a:solidFill>
                                <a:ln w="25400" algn="ctr">
                                  <a:solidFill>
                                    <a:srgbClr val="4F81BD"/>
                                  </a:solidFill>
                                  <a:round/>
                                  <a:headEnd/>
                                  <a:tailEnd/>
                                </a:ln>
                              </wps:spPr>
                              <wps:txbx>
                                <w:txbxContent>
                                  <w:p w:rsidR="00CD7E74" w:rsidRPr="00F23A68" w:rsidRDefault="00CD7E74" w:rsidP="007E360C">
                                    <w:pPr>
                                      <w:ind w:firstLine="0"/>
                                      <w:jc w:val="center"/>
                                      <w:rPr>
                                        <w:sz w:val="20"/>
                                      </w:rPr>
                                    </w:pPr>
                                    <w:r w:rsidRPr="00F23A68">
                                      <w:rPr>
                                        <w:sz w:val="20"/>
                                      </w:rPr>
                                      <w:t>Проверка за пълнота  и завършеност на АРП</w:t>
                                    </w:r>
                                  </w:p>
                                </w:txbxContent>
                              </wps:txbx>
                              <wps:bodyPr rot="0" vert="horz" wrap="square" lIns="91440" tIns="45720" rIns="91440" bIns="45720" anchor="ctr" anchorCtr="0" upright="1">
                                <a:noAutofit/>
                              </wps:bodyPr>
                            </wps:wsp>
                            <wps:wsp>
                              <wps:cNvPr id="1948" name="Rounded Rectangle 1751"/>
                              <wps:cNvSpPr>
                                <a:spLocks noChangeArrowheads="1"/>
                              </wps:cNvSpPr>
                              <wps:spPr bwMode="auto">
                                <a:xfrm>
                                  <a:off x="-1695202" y="1424763"/>
                                  <a:ext cx="3247686" cy="733424"/>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F23A68" w:rsidRDefault="00CD7E74" w:rsidP="007E360C">
                                    <w:pPr>
                                      <w:ind w:firstLine="0"/>
                                      <w:jc w:val="center"/>
                                      <w:rPr>
                                        <w:sz w:val="20"/>
                                      </w:rPr>
                                    </w:pPr>
                                    <w:r w:rsidRPr="00F23A68">
                                      <w:rPr>
                                        <w:sz w:val="20"/>
                                      </w:rPr>
                                      <w:t>Методологията е спазена</w:t>
                                    </w:r>
                                  </w:p>
                                  <w:p w:rsidR="00CD7E74" w:rsidRPr="00F23A68" w:rsidRDefault="00CD7E74" w:rsidP="007E360C">
                                    <w:pPr>
                                      <w:ind w:firstLine="0"/>
                                      <w:jc w:val="center"/>
                                      <w:rPr>
                                        <w:b/>
                                        <w:sz w:val="20"/>
                                      </w:rPr>
                                    </w:pPr>
                                    <w:r w:rsidRPr="00F23A68">
                                      <w:rPr>
                                        <w:sz w:val="20"/>
                                      </w:rPr>
                                      <w:t xml:space="preserve"> </w:t>
                                    </w:r>
                                    <w:r w:rsidRPr="00F23A68">
                                      <w:rPr>
                                        <w:b/>
                                        <w:sz w:val="20"/>
                                      </w:rPr>
                                      <w:t>Резултатите от АРП са достоверни</w:t>
                                    </w:r>
                                  </w:p>
                                </w:txbxContent>
                              </wps:txbx>
                              <wps:bodyPr rot="0" vert="horz" wrap="square" lIns="91440" tIns="45720" rIns="91440" bIns="45720" anchor="ctr" anchorCtr="0" upright="1">
                                <a:noAutofit/>
                              </wps:bodyPr>
                            </wps:wsp>
                            <wps:wsp>
                              <wps:cNvPr id="1949" name="Rounded Rectangle 1752"/>
                              <wps:cNvSpPr>
                                <a:spLocks noChangeArrowheads="1"/>
                              </wps:cNvSpPr>
                              <wps:spPr bwMode="auto">
                                <a:xfrm>
                                  <a:off x="1839275" y="1424669"/>
                                  <a:ext cx="1711291" cy="722630"/>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F23A68" w:rsidRDefault="00CD7E74" w:rsidP="007E360C">
                                    <w:pPr>
                                      <w:ind w:firstLine="0"/>
                                      <w:jc w:val="center"/>
                                      <w:rPr>
                                        <w:sz w:val="20"/>
                                      </w:rPr>
                                    </w:pPr>
                                    <w:r w:rsidRPr="00F23A68">
                                      <w:rPr>
                                        <w:sz w:val="20"/>
                                      </w:rPr>
                                      <w:t>Методологията не е спазена в някои точки</w:t>
                                    </w:r>
                                  </w:p>
                                  <w:p w:rsidR="00CD7E74" w:rsidRPr="00F23A68" w:rsidRDefault="00CD7E74" w:rsidP="007E360C">
                                    <w:pPr>
                                      <w:ind w:firstLine="0"/>
                                      <w:jc w:val="center"/>
                                      <w:rPr>
                                        <w:b/>
                                        <w:sz w:val="20"/>
                                      </w:rPr>
                                    </w:pPr>
                                    <w:r w:rsidRPr="00F23A68">
                                      <w:rPr>
                                        <w:sz w:val="20"/>
                                      </w:rPr>
                                      <w:t xml:space="preserve"> </w:t>
                                    </w:r>
                                    <w:r w:rsidRPr="00F23A68">
                                      <w:rPr>
                                        <w:b/>
                                        <w:sz w:val="20"/>
                                      </w:rPr>
                                      <w:t>Резултатите от АРП не са достоверни</w:t>
                                    </w:r>
                                  </w:p>
                                </w:txbxContent>
                              </wps:txbx>
                              <wps:bodyPr rot="0" vert="horz" wrap="square" lIns="91440" tIns="45720" rIns="91440" bIns="45720" anchor="ctr" anchorCtr="0" upright="1">
                                <a:noAutofit/>
                              </wps:bodyPr>
                            </wps:wsp>
                            <wps:wsp>
                              <wps:cNvPr id="1950" name="Rounded Rectangle 1753"/>
                              <wps:cNvSpPr>
                                <a:spLocks noChangeArrowheads="1"/>
                              </wps:cNvSpPr>
                              <wps:spPr bwMode="auto">
                                <a:xfrm>
                                  <a:off x="3806456" y="1435394"/>
                                  <a:ext cx="1681007" cy="1128773"/>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F23A68" w:rsidRDefault="00CD7E74" w:rsidP="007E360C">
                                    <w:pPr>
                                      <w:ind w:firstLine="0"/>
                                      <w:jc w:val="center"/>
                                      <w:rPr>
                                        <w:b/>
                                        <w:sz w:val="20"/>
                                      </w:rPr>
                                    </w:pPr>
                                    <w:r w:rsidRPr="00F23A68">
                                      <w:rPr>
                                        <w:sz w:val="20"/>
                                      </w:rPr>
                                      <w:t>Нужда от проверка на предпоставките и пълнотата на АРП</w:t>
                                    </w:r>
                                  </w:p>
                                </w:txbxContent>
                              </wps:txbx>
                              <wps:bodyPr rot="0" vert="horz" wrap="square" lIns="91440" tIns="45720" rIns="91440" bIns="45720" anchor="ctr" anchorCtr="0" upright="1">
                                <a:noAutofit/>
                              </wps:bodyPr>
                            </wps:wsp>
                            <wps:wsp>
                              <wps:cNvPr id="1951" name="Straight Arrow Connector 1764"/>
                              <wps:cNvCnPr>
                                <a:cxnSpLocks noChangeShapeType="1"/>
                              </wps:cNvCnPr>
                              <wps:spPr bwMode="auto">
                                <a:xfrm flipH="1">
                                  <a:off x="1807535" y="499730"/>
                                  <a:ext cx="0" cy="276225"/>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s:wsp>
                              <wps:cNvPr id="1984" name="Straight Arrow Connector 1766"/>
                              <wps:cNvCnPr>
                                <a:cxnSpLocks noChangeShapeType="1"/>
                              </wps:cNvCnPr>
                              <wps:spPr bwMode="auto">
                                <a:xfrm>
                                  <a:off x="2604977" y="1222744"/>
                                  <a:ext cx="265814" cy="201930"/>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s:wsp>
                              <wps:cNvPr id="1985" name="Straight Arrow Connector 1767"/>
                              <wps:cNvCnPr>
                                <a:cxnSpLocks noChangeShapeType="1"/>
                              </wps:cNvCnPr>
                              <wps:spPr bwMode="auto">
                                <a:xfrm flipH="1">
                                  <a:off x="712382" y="1254642"/>
                                  <a:ext cx="287079" cy="180754"/>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s:wsp>
                              <wps:cNvPr id="1986" name="Straight Arrow Connector 1768"/>
                              <wps:cNvCnPr>
                                <a:cxnSpLocks noChangeShapeType="1"/>
                              </wps:cNvCnPr>
                              <wps:spPr bwMode="auto">
                                <a:xfrm>
                                  <a:off x="595424" y="2158409"/>
                                  <a:ext cx="265252" cy="201679"/>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s:wsp>
                              <wps:cNvPr id="1987" name="Elbow Connector 1777"/>
                              <wps:cNvCnPr>
                                <a:cxnSpLocks noChangeShapeType="1"/>
                              </wps:cNvCnPr>
                              <wps:spPr bwMode="auto">
                                <a:xfrm flipH="1" flipV="1">
                                  <a:off x="3019647" y="148856"/>
                                  <a:ext cx="1552781" cy="1275907"/>
                                </a:xfrm>
                                <a:prstGeom prst="bentConnector3">
                                  <a:avLst>
                                    <a:gd name="adj1" fmla="val -676"/>
                                  </a:avLst>
                                </a:prstGeom>
                                <a:noFill/>
                                <a:ln w="12700" algn="ctr">
                                  <a:solidFill>
                                    <a:srgbClr val="4A7EBB"/>
                                  </a:solidFill>
                                  <a:miter lim="800000"/>
                                  <a:headEnd/>
                                  <a:tailEnd type="triangle" w="med" len="med"/>
                                </a:ln>
                                <a:extLst>
                                  <a:ext uri="{909E8E84-426E-40DD-AFC4-6F175D3DCCD1}">
                                    <a14:hiddenFill xmlns:a14="http://schemas.microsoft.com/office/drawing/2010/main">
                                      <a:noFill/>
                                    </a14:hiddenFill>
                                  </a:ext>
                                </a:extLst>
                              </wps:spPr>
                              <wps:bodyPr/>
                            </wps:wsp>
                            <wps:wsp>
                              <wps:cNvPr id="1988" name="Straight Arrow Connector 1778"/>
                              <wps:cNvCnPr>
                                <a:cxnSpLocks noChangeShapeType="1"/>
                              </wps:cNvCnPr>
                              <wps:spPr bwMode="auto">
                                <a:xfrm flipH="1">
                                  <a:off x="3572540" y="1786270"/>
                                  <a:ext cx="233680" cy="0"/>
                                </a:xfrm>
                                <a:prstGeom prst="straightConnector1">
                                  <a:avLst/>
                                </a:prstGeom>
                                <a:noFill/>
                                <a:ln w="12700" algn="ctr">
                                  <a:solidFill>
                                    <a:srgbClr val="4A7EBB"/>
                                  </a:solidFill>
                                  <a:round/>
                                  <a:headEnd type="triangle" w="med" len="med"/>
                                  <a:tailEnd/>
                                </a:ln>
                                <a:extLst>
                                  <a:ext uri="{909E8E84-426E-40DD-AFC4-6F175D3DCCD1}">
                                    <a14:hiddenFill xmlns:a14="http://schemas.microsoft.com/office/drawing/2010/main">
                                      <a:noFill/>
                                    </a14:hiddenFill>
                                  </a:ext>
                                </a:extLst>
                              </wps:spPr>
                              <wps:bodyPr/>
                            </wps:wsp>
                          </wpg:grpSp>
                        </wpg:grpSp>
                      </wpg:grpSp>
                    </wpg:wgp>
                  </a:graphicData>
                </a:graphic>
              </wp:inline>
            </w:drawing>
          </mc:Choice>
          <mc:Fallback>
            <w:pict>
              <v:group w14:anchorId="08516141" id="Group 1785" o:spid="_x0000_s1102" style="width:442.5pt;height:345.75pt;mso-position-horizontal-relative:char;mso-position-vertical-relative:line" coordorigin="-365" coordsize="71826,638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">
                <v:shapetype id="_x0000_t4" coordsize="21600,21600" o:spt="4" path="m10800,l,10800,10800,21600,21600,10800xe">
                  <v:stroke joinstyle="miter"/>
                  <v:path gradientshapeok="t" o:connecttype="rect" textboxrect="5400,5400,16200,16200"/>
                </v:shapetype>
                <v:shape id="Diamond 1784" o:spid="_x0000_s1103" type="#_x0000_t4" style="position:absolute;top:20201;width:70276;height:425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" fillcolor="#bcbcbc">
                  <v:fill color2="#ededed" rotate="t" angle="180" colors="0 #bcbcbc;22938f #d0d0d0;1 #ededed" focus="100%" type="gradient"/>
                  <v:shadow on="t" color="black" opacity="24903f" origin=",.5" offset="0,.55556mm"/>
                </v:shape>
                <v:group id="Group 1783" o:spid="_x0000_s1104" style="position:absolute;left:-365;width:71826;height:63896" coordorigin="-3980" coordsize="71826,63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">
                  <v:group id="Group 1782" o:spid="_x0000_s1105" style="position:absolute;left:12332;top:52205;width:42731;height:11691" coordorigin="-2659" coordsize="42730,1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oval id="Oval 1762" o:spid="_x0000_s1106" style="position:absolute;left:17330;top:3079;width:22741;height:86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" strokecolor="#4f81bd" strokeweight="2pt">
                      <v:textbox>
                        <w:txbxContent>
                          <w:p w:rsidR="00CD7E74" w:rsidRPr="00F23A68" w:rsidRDefault="00CD7E74" w:rsidP="007E360C">
                            <w:pPr>
                              <w:ind w:firstLine="0"/>
                              <w:jc w:val="center"/>
                              <w:rPr>
                                <w:b/>
                                <w:sz w:val="20"/>
                              </w:rPr>
                            </w:pPr>
                            <w:r w:rsidRPr="00F23A68">
                              <w:rPr>
                                <w:sz w:val="20"/>
                              </w:rPr>
                              <w:t xml:space="preserve">Финансирането от ЕС </w:t>
                            </w:r>
                            <w:r w:rsidRPr="00F23A68">
                              <w:rPr>
                                <w:b/>
                                <w:sz w:val="20"/>
                              </w:rPr>
                              <w:t>е</w:t>
                            </w:r>
                            <w:r w:rsidRPr="00F23A68">
                              <w:rPr>
                                <w:sz w:val="20"/>
                              </w:rPr>
                              <w:t xml:space="preserve"> </w:t>
                            </w:r>
                            <w:r w:rsidRPr="00F23A68">
                              <w:rPr>
                                <w:b/>
                                <w:sz w:val="20"/>
                              </w:rPr>
                              <w:t xml:space="preserve">обосновано </w:t>
                            </w:r>
                          </w:p>
                        </w:txbxContent>
                      </v:textbox>
                    </v:oval>
                    <v:roundrect id="Rounded Rectangle 1763" o:spid="_x0000_s1107" style="position:absolute;left:-2659;top:2764;width:17645;height:77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" fillcolor="#a3c4ff" strokecolor="#4a7ebb">
                      <v:fill color2="#e5eeff" rotate="t" angle="180" colors="0 #a3c4ff;22938f #bfd5ff;1 #e5eeff" focus="100%" type="gradient"/>
                      <v:shadow on="t" color="black" opacity="24903f" origin=",.5" offset="0,.55556mm"/>
                      <v:textbox>
                        <w:txbxContent>
                          <w:p w:rsidR="00CD7E74" w:rsidRPr="00F23A68" w:rsidRDefault="00CD7E74" w:rsidP="007E360C">
                            <w:pPr>
                              <w:ind w:firstLine="0"/>
                              <w:jc w:val="center"/>
                              <w:rPr>
                                <w:b/>
                                <w:color w:val="FF0000"/>
                                <w:sz w:val="20"/>
                                <w:lang w:val="en-US"/>
                              </w:rPr>
                            </w:pPr>
                            <w:r w:rsidRPr="00F23A68">
                              <w:rPr>
                                <w:b/>
                                <w:color w:val="FF0000"/>
                                <w:sz w:val="20"/>
                              </w:rPr>
                              <w:t>Изчисление на финансиране от ЕС</w:t>
                            </w:r>
                          </w:p>
                        </w:txbxContent>
                      </v:textbox>
                    </v:roundrect>
                    <v:shapetype id="_x0000_t32" coordsize="21600,21600" o:spt="32" o:oned="t" path="m,l21600,21600e" filled="f">
                      <v:path arrowok="t" fillok="f" o:connecttype="none"/>
                      <o:lock v:ext="edit" shapetype="t"/>
                    </v:shapetype>
                    <v:shape id="Straight Arrow Connector 1765" o:spid="_x0000_s1108" type="#_x0000_t32" style="position:absolute;left:25305;width:0;height:27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" strokecolor="#4a7ebb" strokeweight="1pt">
                      <v:stroke endarrow="block"/>
                    </v:shape>
                    <v:shape id="Straight Arrow Connector 1774" o:spid="_x0000_s1109" type="#_x0000_t32" style="position:absolute;left:14991;top:7336;width:233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" strokecolor="#4a7ebb" strokeweight="1pt">
                      <v:stroke endarrow="block"/>
                    </v:shape>
                  </v:group>
                  <v:group id="Group 1781" o:spid="_x0000_s1110" style="position:absolute;left:-2762;top:38383;width:54295;height:15520" coordorigin="-3294" coordsize="54296,1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roundrect id="Rounded Rectangle 1758" o:spid="_x0000_s1111" style="position:absolute;left:18394;width:32607;height:46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" fillcolor="#a3c4ff" strokecolor="#4a7ebb">
                      <v:fill color2="#e5eeff" rotate="t" angle="180" colors="0 #a3c4ff;22938f #bfd5ff;1 #e5eeff" focus="100%" type="gradient"/>
                      <v:shadow on="t" color="black" opacity="24903f" origin=",.5" offset="0,.55556mm"/>
                      <v:textbox>
                        <w:txbxContent>
                          <w:p w:rsidR="00CD7E74" w:rsidRPr="00F23A68" w:rsidRDefault="00CD7E74" w:rsidP="007E360C">
                            <w:pPr>
                              <w:ind w:firstLine="0"/>
                              <w:jc w:val="center"/>
                              <w:rPr>
                                <w:sz w:val="20"/>
                              </w:rPr>
                            </w:pPr>
                            <w:r w:rsidRPr="00F23A68">
                              <w:rPr>
                                <w:sz w:val="20"/>
                              </w:rPr>
                              <w:t>Проектът се нуждае от съфинансиране</w:t>
                            </w:r>
                          </w:p>
                          <w:p w:rsidR="00CD7E74" w:rsidRPr="00F23A68" w:rsidRDefault="00CD7E74" w:rsidP="007E360C">
                            <w:pPr>
                              <w:ind w:firstLine="0"/>
                              <w:jc w:val="center"/>
                              <w:rPr>
                                <w:sz w:val="20"/>
                              </w:rPr>
                            </w:pPr>
                          </w:p>
                        </w:txbxContent>
                      </v:textbox>
                    </v:roundrect>
                    <v:roundrect id="Rounded Rectangle 1759" o:spid="_x0000_s1112" style="position:absolute;left:17436;top:7546;width:10526;height:62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" fillcolor="#a3c4ff" strokecolor="#4a7ebb">
                      <v:fill color2="#e5eeff" rotate="t" angle="180" colors="0 #a3c4ff;22938f #bfd5ff;1 #e5eeff" focus="100%" type="gradient"/>
                      <v:shadow on="t" color="black" opacity="24903f" origin=",.5" offset="0,.55556mm"/>
                      <v:textbox>
                        <w:txbxContent>
                          <w:p w:rsidR="00CD7E74" w:rsidRPr="00F23A68" w:rsidRDefault="00CD7E74" w:rsidP="007E360C">
                            <w:pPr>
                              <w:ind w:firstLine="0"/>
                              <w:jc w:val="center"/>
                              <w:rPr>
                                <w:sz w:val="20"/>
                              </w:rPr>
                            </w:pPr>
                            <w:r w:rsidRPr="00F23A68">
                              <w:rPr>
                                <w:sz w:val="20"/>
                              </w:rPr>
                              <w:t xml:space="preserve">ИННС </w:t>
                            </w:r>
                            <w:r w:rsidRPr="00F23A68">
                              <w:rPr>
                                <w:sz w:val="20"/>
                                <w:lang w:val="en-US"/>
                              </w:rPr>
                              <w:t>&lt;</w:t>
                            </w:r>
                            <w:r w:rsidRPr="00F23A68">
                              <w:rPr>
                                <w:sz w:val="20"/>
                              </w:rPr>
                              <w:t xml:space="preserve"> 0</w:t>
                            </w:r>
                          </w:p>
                          <w:p w:rsidR="00CD7E74" w:rsidRPr="00F23A68" w:rsidRDefault="00CD7E74" w:rsidP="007E360C">
                            <w:pPr>
                              <w:ind w:firstLine="0"/>
                              <w:jc w:val="center"/>
                              <w:rPr>
                                <w:b/>
                                <w:sz w:val="20"/>
                                <w:lang w:val="en-US"/>
                              </w:rPr>
                            </w:pPr>
                            <w:r w:rsidRPr="00F23A68">
                              <w:rPr>
                                <w:sz w:val="20"/>
                              </w:rPr>
                              <w:t>Е</w:t>
                            </w:r>
                            <w:r w:rsidRPr="00F23A68">
                              <w:rPr>
                                <w:sz w:val="20"/>
                                <w:lang w:val="en-US"/>
                              </w:rPr>
                              <w:t>NPV  &lt; 0</w:t>
                            </w:r>
                          </w:p>
                        </w:txbxContent>
                      </v:textbox>
                    </v:roundrect>
                    <v:roundrect id="Rounded Rectangle 1760" o:spid="_x0000_s1113" style="position:absolute;left:35192;top:7652;width:10196;height:616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" fillcolor="#a3c4ff" strokecolor="#4a7ebb">
                      <v:fill color2="#e5eeff" rotate="t" angle="180" colors="0 #a3c4ff;22938f #bfd5ff;1 #e5eeff" focus="100%" type="gradient"/>
                      <v:shadow on="t" color="black" opacity="24903f" origin=",.5" offset="0,.55556mm"/>
                      <v:textbox>
                        <w:txbxContent>
                          <w:p w:rsidR="00CD7E74" w:rsidRPr="00F23A68" w:rsidRDefault="00CD7E74" w:rsidP="007E360C">
                            <w:pPr>
                              <w:ind w:firstLine="0"/>
                              <w:jc w:val="center"/>
                              <w:rPr>
                                <w:sz w:val="20"/>
                              </w:rPr>
                            </w:pPr>
                            <w:r w:rsidRPr="00F23A68">
                              <w:rPr>
                                <w:sz w:val="20"/>
                              </w:rPr>
                              <w:t xml:space="preserve">ИННС </w:t>
                            </w:r>
                            <w:r w:rsidRPr="00F23A68">
                              <w:rPr>
                                <w:sz w:val="20"/>
                                <w:lang w:val="en-US"/>
                              </w:rPr>
                              <w:t>&gt;</w:t>
                            </w:r>
                            <w:r w:rsidRPr="00F23A68">
                              <w:rPr>
                                <w:sz w:val="20"/>
                              </w:rPr>
                              <w:t xml:space="preserve"> </w:t>
                            </w:r>
                            <w:r w:rsidRPr="00F23A68">
                              <w:rPr>
                                <w:sz w:val="20"/>
                                <w:lang w:val="en-US"/>
                              </w:rPr>
                              <w:t>0</w:t>
                            </w:r>
                          </w:p>
                          <w:p w:rsidR="00CD7E74" w:rsidRPr="00F23A68" w:rsidRDefault="00CD7E74" w:rsidP="007E360C">
                            <w:pPr>
                              <w:ind w:firstLine="0"/>
                              <w:jc w:val="center"/>
                              <w:rPr>
                                <w:b/>
                                <w:sz w:val="20"/>
                              </w:rPr>
                            </w:pPr>
                            <w:r w:rsidRPr="00F23A68">
                              <w:rPr>
                                <w:sz w:val="20"/>
                              </w:rPr>
                              <w:t>Е</w:t>
                            </w:r>
                            <w:r w:rsidRPr="00F23A68">
                              <w:rPr>
                                <w:sz w:val="20"/>
                                <w:lang w:val="en-US"/>
                              </w:rPr>
                              <w:t>NPV &gt;</w:t>
                            </w:r>
                            <w:r w:rsidRPr="00F23A68">
                              <w:rPr>
                                <w:sz w:val="20"/>
                              </w:rPr>
                              <w:t xml:space="preserve"> </w:t>
                            </w:r>
                            <w:r w:rsidRPr="00F23A68">
                              <w:rPr>
                                <w:sz w:val="20"/>
                                <w:lang w:val="en-US"/>
                              </w:rPr>
                              <w:t>0</w:t>
                            </w:r>
                          </w:p>
                        </w:txbxContent>
                      </v:textbox>
                    </v:roundrect>
                    <v:oval id="Oval 1761" o:spid="_x0000_s1114" style="position:absolute;left:-3294;top:2920;width:17854;height:12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" strokecolor="#4f81bd" strokeweight="2pt">
                      <v:textbox>
                        <w:txbxContent>
                          <w:p w:rsidR="00CD7E74" w:rsidRPr="00F23A68" w:rsidRDefault="00CD7E74" w:rsidP="007E360C">
                            <w:pPr>
                              <w:ind w:firstLine="0"/>
                              <w:jc w:val="center"/>
                              <w:rPr>
                                <w:sz w:val="20"/>
                              </w:rPr>
                            </w:pPr>
                            <w:r w:rsidRPr="00F23A68">
                              <w:rPr>
                                <w:sz w:val="20"/>
                              </w:rPr>
                              <w:t xml:space="preserve">Финансиране от ЕС </w:t>
                            </w:r>
                            <w:r w:rsidRPr="00F23A68">
                              <w:rPr>
                                <w:b/>
                                <w:sz w:val="20"/>
                              </w:rPr>
                              <w:t>не е</w:t>
                            </w:r>
                            <w:r w:rsidRPr="00F23A68">
                              <w:rPr>
                                <w:sz w:val="20"/>
                              </w:rPr>
                              <w:t xml:space="preserve"> обосновано </w:t>
                            </w:r>
                          </w:p>
                        </w:txbxContent>
                      </v:textbox>
                    </v:oval>
                    <v:shape id="Straight Arrow Connector 1769" o:spid="_x0000_s1115" type="#_x0000_t32" style="position:absolute;left:36044;top:5209;width:3073;height:20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" strokecolor="#4a7ebb" strokeweight="1pt">
                      <v:stroke endarrow="block"/>
                    </v:shape>
                    <v:shape id="Straight Arrow Connector 1770" o:spid="_x0000_s1116" type="#_x0000_t32" style="position:absolute;left:21796;top:5209;width:2870;height:180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" strokecolor="#4a7ebb" strokeweight="1pt">
                      <v:stroke endarrow="block"/>
                    </v:shape>
                    <v:shape id="Straight Arrow Connector 1776" o:spid="_x0000_s1117" type="#_x0000_t32" style="position:absolute;left:14885;top:10526;width:233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" strokecolor="#4a7ebb" strokeweight="1pt">
                      <v:stroke endarrow="block"/>
                    </v:shape>
                  </v:group>
                  <v:group id="Group 1780" o:spid="_x0000_s1118" style="position:absolute;left:-3980;width:71826;height:37636" coordorigin="-3980" coordsize="71826,37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">
                    <v:oval id="Oval 1754" o:spid="_x0000_s1119" style="position:absolute;left:19351;top:22434;width:23279;height:5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" strokecolor="#4f81bd" strokeweight="2pt">
                      <v:textbox>
                        <w:txbxContent>
                          <w:p w:rsidR="00CD7E74" w:rsidRPr="00F23A68" w:rsidRDefault="00CD7E74" w:rsidP="007E360C">
                            <w:pPr>
                              <w:ind w:firstLine="0"/>
                              <w:jc w:val="center"/>
                              <w:rPr>
                                <w:sz w:val="20"/>
                              </w:rPr>
                            </w:pPr>
                            <w:r w:rsidRPr="00F23A68">
                              <w:rPr>
                                <w:sz w:val="20"/>
                              </w:rPr>
                              <w:t xml:space="preserve">Оценка на финансовите и икономически показатели </w:t>
                            </w:r>
                          </w:p>
                        </w:txbxContent>
                      </v:textbox>
                    </v:oval>
                    <v:roundrect id="Rounded Rectangle 1755" o:spid="_x0000_s1120" style="position:absolute;left:16479;top:30688;width:14034;height:63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" fillcolor="#a3c4ff" strokecolor="#4a7ebb">
                      <v:fill color2="#e5eeff" rotate="t" angle="180" colors="0 #a3c4ff;22938f #bfd5ff;1 #e5eeff" focus="100%" type="gradient"/>
                      <v:shadow on="t" color="black" opacity="24903f" origin=",.5" offset="0,.55556mm"/>
                      <v:textbox>
                        <w:txbxContent>
                          <w:p w:rsidR="00CD7E74" w:rsidRPr="00F23A68" w:rsidRDefault="00CD7E74" w:rsidP="007E360C">
                            <w:pPr>
                              <w:ind w:firstLine="0"/>
                              <w:jc w:val="center"/>
                              <w:rPr>
                                <w:sz w:val="20"/>
                              </w:rPr>
                            </w:pPr>
                            <w:r w:rsidRPr="00F23A68">
                              <w:rPr>
                                <w:sz w:val="20"/>
                              </w:rPr>
                              <w:t xml:space="preserve">ФННС </w:t>
                            </w:r>
                            <w:r w:rsidRPr="00F23A68">
                              <w:rPr>
                                <w:sz w:val="20"/>
                                <w:lang w:val="en-US"/>
                              </w:rPr>
                              <w:t>&gt;</w:t>
                            </w:r>
                            <w:r w:rsidRPr="00F23A68">
                              <w:rPr>
                                <w:sz w:val="20"/>
                              </w:rPr>
                              <w:t xml:space="preserve"> 0</w:t>
                            </w:r>
                          </w:p>
                          <w:p w:rsidR="00CD7E74" w:rsidRPr="00F23A68" w:rsidRDefault="00CD7E74" w:rsidP="007E360C">
                            <w:pPr>
                              <w:ind w:firstLine="0"/>
                              <w:jc w:val="center"/>
                              <w:rPr>
                                <w:b/>
                                <w:sz w:val="20"/>
                                <w:lang w:val="en-US"/>
                              </w:rPr>
                            </w:pPr>
                            <w:r w:rsidRPr="00F23A68">
                              <w:rPr>
                                <w:sz w:val="20"/>
                                <w:lang w:val="en-US"/>
                              </w:rPr>
                              <w:t>FNPV(C) &gt; 0</w:t>
                            </w:r>
                          </w:p>
                        </w:txbxContent>
                      </v:textbox>
                    </v:roundrect>
                    <v:roundrect id="Rounded Rectangle 1756" o:spid="_x0000_s1121" style="position:absolute;left:35830;top:29237;width:14972;height:616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" fillcolor="#a3c4ff" strokecolor="#4a7ebb">
                      <v:fill color2="#e5eeff" rotate="t" angle="180" colors="0 #a3c4ff;22938f #bfd5ff;1 #e5eeff" focus="100%" type="gradient"/>
                      <v:shadow on="t" color="black" opacity="24903f" origin=",.5" offset="0,.55556mm"/>
                      <v:textbox>
                        <w:txbxContent>
                          <w:p w:rsidR="00CD7E74" w:rsidRPr="00F23A68" w:rsidRDefault="00CD7E74" w:rsidP="007E360C">
                            <w:pPr>
                              <w:ind w:firstLine="0"/>
                              <w:jc w:val="center"/>
                              <w:rPr>
                                <w:sz w:val="20"/>
                              </w:rPr>
                            </w:pPr>
                            <w:r w:rsidRPr="00F23A68">
                              <w:rPr>
                                <w:sz w:val="20"/>
                              </w:rPr>
                              <w:t xml:space="preserve">ФННС </w:t>
                            </w:r>
                            <w:r w:rsidRPr="00F23A68">
                              <w:rPr>
                                <w:sz w:val="20"/>
                                <w:lang w:val="en-US"/>
                              </w:rPr>
                              <w:t>&lt; 0</w:t>
                            </w:r>
                          </w:p>
                          <w:p w:rsidR="00CD7E74" w:rsidRPr="00F23A68" w:rsidRDefault="00CD7E74" w:rsidP="007E360C">
                            <w:pPr>
                              <w:ind w:firstLine="0"/>
                              <w:jc w:val="center"/>
                              <w:rPr>
                                <w:b/>
                                <w:sz w:val="20"/>
                              </w:rPr>
                            </w:pPr>
                            <w:r w:rsidRPr="00F23A68">
                              <w:rPr>
                                <w:sz w:val="20"/>
                                <w:lang w:val="en-US"/>
                              </w:rPr>
                              <w:t>FNPV(C)  &lt; 0</w:t>
                            </w:r>
                          </w:p>
                        </w:txbxContent>
                      </v:textbox>
                    </v:roundrect>
                    <v:oval id="Oval 1757" o:spid="_x0000_s1122" style="position:absolute;left:-2154;top:23600;width:16799;height:14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" strokecolor="#4f81bd" strokeweight="2pt">
                      <v:textbox>
                        <w:txbxContent>
                          <w:p w:rsidR="00CD7E74" w:rsidRPr="00F23A68" w:rsidRDefault="00CD7E74" w:rsidP="007E360C">
                            <w:pPr>
                              <w:ind w:firstLine="0"/>
                              <w:jc w:val="center"/>
                              <w:rPr>
                                <w:sz w:val="20"/>
                              </w:rPr>
                            </w:pPr>
                            <w:r w:rsidRPr="00F23A68">
                              <w:rPr>
                                <w:sz w:val="20"/>
                              </w:rPr>
                              <w:t xml:space="preserve">Проектът </w:t>
                            </w:r>
                          </w:p>
                          <w:p w:rsidR="00CD7E74" w:rsidRPr="00F23A68" w:rsidRDefault="00CD7E74" w:rsidP="007E360C">
                            <w:pPr>
                              <w:ind w:firstLine="0"/>
                              <w:jc w:val="center"/>
                              <w:rPr>
                                <w:sz w:val="20"/>
                              </w:rPr>
                            </w:pPr>
                            <w:r w:rsidRPr="00F23A68">
                              <w:rPr>
                                <w:b/>
                                <w:sz w:val="20"/>
                              </w:rPr>
                              <w:t xml:space="preserve">не се </w:t>
                            </w:r>
                            <w:r w:rsidRPr="00F23A68">
                              <w:rPr>
                                <w:sz w:val="20"/>
                              </w:rPr>
                              <w:t xml:space="preserve">нуждае от финансиране </w:t>
                            </w:r>
                          </w:p>
                        </w:txbxContent>
                      </v:textbox>
                    </v:oval>
                    <v:shape id="Straight Arrow Connector 1771" o:spid="_x0000_s1123" type="#_x0000_t32" style="position:absolute;left:28495;top:28282;width:2870;height:180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" strokecolor="#4a7ebb" strokeweight="1pt">
                      <v:stroke endarrow="block"/>
                    </v:shape>
                    <v:shape id="Straight Arrow Connector 1772" o:spid="_x0000_s1124" type="#_x0000_t32" style="position:absolute;left:32429;top:28282;width:2654;height:20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" strokecolor="#4a7ebb" strokeweight="1pt">
                      <v:stroke endarrow="block"/>
                    </v:shape>
                    <v:shape id="Straight Arrow Connector 1773" o:spid="_x0000_s1125" type="#_x0000_t32" style="position:absolute;left:36788;top:35831;width:2870;height:180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" strokecolor="#4a7ebb" strokeweight="1pt">
                      <v:stroke endarrow="block"/>
                    </v:shape>
                    <v:shape id="Straight Arrow Connector 1775" o:spid="_x0000_s1126" type="#_x0000_t32" style="position:absolute;left:13996;top:32429;width:233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" strokecolor="#4a7ebb" strokeweight="1pt">
                      <v:stroke endarrow="block"/>
                    </v:shape>
                    <v:group id="Group 1779" o:spid="_x0000_s1127" style="position:absolute;left:-3980;width:71826;height:25641" coordorigin="-16952" coordsize="71826,25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roundrect id="Rounded Rectangle 1715" o:spid="_x0000_s1128" style="position:absolute;left:5954;width:24238;height:49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" fillcolor="#a3c4ff" strokecolor="#4a7ebb">
                        <v:fill color2="#e5eeff" rotate="t" angle="180" colors="0 #a3c4ff;22938f #bfd5ff;1 #e5eeff" focus="100%" type="gradient"/>
                        <v:shadow on="t" color="black" opacity="24903f" origin=",.5" offset="0,.55556mm"/>
                        <v:textbox>
                          <w:txbxContent>
                            <w:p w:rsidR="00CD7E74" w:rsidRPr="00F23A68" w:rsidRDefault="00CD7E74" w:rsidP="007E360C">
                              <w:pPr>
                                <w:ind w:firstLine="0"/>
                                <w:jc w:val="center"/>
                                <w:rPr>
                                  <w:sz w:val="20"/>
                                </w:rPr>
                              </w:pPr>
                              <w:r w:rsidRPr="00F23A68">
                                <w:rPr>
                                  <w:sz w:val="20"/>
                                </w:rPr>
                                <w:t>АРП резултати</w:t>
                              </w:r>
                            </w:p>
                          </w:txbxContent>
                        </v:textbox>
                      </v:roundrect>
                      <v:oval id="Oval 1750" o:spid="_x0000_s1129" style="position:absolute;left:6379;top:7761;width:23279;height:5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" strokecolor="#4f81bd" strokeweight="2pt">
                        <v:textbox>
                          <w:txbxContent>
                            <w:p w:rsidR="00CD7E74" w:rsidRPr="00F23A68" w:rsidRDefault="00CD7E74" w:rsidP="007E360C">
                              <w:pPr>
                                <w:ind w:firstLine="0"/>
                                <w:jc w:val="center"/>
                                <w:rPr>
                                  <w:sz w:val="20"/>
                                </w:rPr>
                              </w:pPr>
                              <w:r w:rsidRPr="00F23A68">
                                <w:rPr>
                                  <w:sz w:val="20"/>
                                </w:rPr>
                                <w:t>Проверка за пълнота  и завършеност на АРП</w:t>
                              </w:r>
                            </w:p>
                          </w:txbxContent>
                        </v:textbox>
                      </v:oval>
                      <v:roundrect id="Rounded Rectangle 1751" o:spid="_x0000_s1130" style="position:absolute;left:-16952;top:14247;width:32476;height:73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" fillcolor="#a3c4ff" strokecolor="#4a7ebb">
                        <v:fill color2="#e5eeff" rotate="t" angle="180" colors="0 #a3c4ff;22938f #bfd5ff;1 #e5eeff" focus="100%" type="gradient"/>
                        <v:shadow on="t" color="black" opacity="24903f" origin=",.5" offset="0,.55556mm"/>
                        <v:textbox>
                          <w:txbxContent>
                            <w:p w:rsidR="00CD7E74" w:rsidRPr="00F23A68" w:rsidRDefault="00CD7E74" w:rsidP="007E360C">
                              <w:pPr>
                                <w:ind w:firstLine="0"/>
                                <w:jc w:val="center"/>
                                <w:rPr>
                                  <w:sz w:val="20"/>
                                </w:rPr>
                              </w:pPr>
                              <w:r w:rsidRPr="00F23A68">
                                <w:rPr>
                                  <w:sz w:val="20"/>
                                </w:rPr>
                                <w:t>Методологията е спазена</w:t>
                              </w:r>
                            </w:p>
                            <w:p w:rsidR="00CD7E74" w:rsidRPr="00F23A68" w:rsidRDefault="00CD7E74" w:rsidP="007E360C">
                              <w:pPr>
                                <w:ind w:firstLine="0"/>
                                <w:jc w:val="center"/>
                                <w:rPr>
                                  <w:b/>
                                  <w:sz w:val="20"/>
                                </w:rPr>
                              </w:pPr>
                              <w:r w:rsidRPr="00F23A68">
                                <w:rPr>
                                  <w:sz w:val="20"/>
                                </w:rPr>
                                <w:t xml:space="preserve"> </w:t>
                              </w:r>
                              <w:r w:rsidRPr="00F23A68">
                                <w:rPr>
                                  <w:b/>
                                  <w:sz w:val="20"/>
                                </w:rPr>
                                <w:t>Резултатите от АРП са достоверни</w:t>
                              </w:r>
                            </w:p>
                          </w:txbxContent>
                        </v:textbox>
                      </v:roundrect>
                      <v:roundrect id="Rounded Rectangle 1752" o:spid="_x0000_s1131" style="position:absolute;left:18392;top:14246;width:17113;height:722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" fillcolor="#a3c4ff" strokecolor="#4a7ebb">
                        <v:fill color2="#e5eeff" rotate="t" angle="180" colors="0 #a3c4ff;22938f #bfd5ff;1 #e5eeff" focus="100%" type="gradient"/>
                        <v:shadow on="t" color="black" opacity="24903f" origin=",.5" offset="0,.55556mm"/>
                        <v:textbox>
                          <w:txbxContent>
                            <w:p w:rsidR="00CD7E74" w:rsidRPr="00F23A68" w:rsidRDefault="00CD7E74" w:rsidP="007E360C">
                              <w:pPr>
                                <w:ind w:firstLine="0"/>
                                <w:jc w:val="center"/>
                                <w:rPr>
                                  <w:sz w:val="20"/>
                                </w:rPr>
                              </w:pPr>
                              <w:r w:rsidRPr="00F23A68">
                                <w:rPr>
                                  <w:sz w:val="20"/>
                                </w:rPr>
                                <w:t>Методологията не е спазена в някои точки</w:t>
                              </w:r>
                            </w:p>
                            <w:p w:rsidR="00CD7E74" w:rsidRPr="00F23A68" w:rsidRDefault="00CD7E74" w:rsidP="007E360C">
                              <w:pPr>
                                <w:ind w:firstLine="0"/>
                                <w:jc w:val="center"/>
                                <w:rPr>
                                  <w:b/>
                                  <w:sz w:val="20"/>
                                </w:rPr>
                              </w:pPr>
                              <w:r w:rsidRPr="00F23A68">
                                <w:rPr>
                                  <w:sz w:val="20"/>
                                </w:rPr>
                                <w:t xml:space="preserve"> </w:t>
                              </w:r>
                              <w:r w:rsidRPr="00F23A68">
                                <w:rPr>
                                  <w:b/>
                                  <w:sz w:val="20"/>
                                </w:rPr>
                                <w:t>Резултатите от АРП не са достоверни</w:t>
                              </w:r>
                            </w:p>
                          </w:txbxContent>
                        </v:textbox>
                      </v:roundrect>
                      <v:roundrect id="Rounded Rectangle 1753" o:spid="_x0000_s1132" style="position:absolute;left:38064;top:14353;width:16810;height:112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" fillcolor="#a3c4ff" strokecolor="#4a7ebb">
                        <v:fill color2="#e5eeff" rotate="t" angle="180" colors="0 #a3c4ff;22938f #bfd5ff;1 #e5eeff" focus="100%" type="gradient"/>
                        <v:shadow on="t" color="black" opacity="24903f" origin=",.5" offset="0,.55556mm"/>
                        <v:textbox>
                          <w:txbxContent>
                            <w:p w:rsidR="00CD7E74" w:rsidRPr="00F23A68" w:rsidRDefault="00CD7E74" w:rsidP="007E360C">
                              <w:pPr>
                                <w:ind w:firstLine="0"/>
                                <w:jc w:val="center"/>
                                <w:rPr>
                                  <w:b/>
                                  <w:sz w:val="20"/>
                                </w:rPr>
                              </w:pPr>
                              <w:r w:rsidRPr="00F23A68">
                                <w:rPr>
                                  <w:sz w:val="20"/>
                                </w:rPr>
                                <w:t>Нужда от проверка на предпоставките и пълнотата на АРП</w:t>
                              </w:r>
                            </w:p>
                          </w:txbxContent>
                        </v:textbox>
                      </v:roundrect>
                      <v:shape id="Straight Arrow Connector 1764" o:spid="_x0000_s1133" type="#_x0000_t32" style="position:absolute;left:18075;top:4997;width:0;height:27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" strokecolor="#4a7ebb" strokeweight="1pt">
                        <v:stroke endarrow="block"/>
                      </v:shape>
                      <v:shape id="Straight Arrow Connector 1766" o:spid="_x0000_s1134" type="#_x0000_t32" style="position:absolute;left:26049;top:12227;width:2658;height:20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" strokecolor="#4a7ebb" strokeweight="1pt">
                        <v:stroke endarrow="block"/>
                      </v:shape>
                      <v:shape id="Straight Arrow Connector 1767" o:spid="_x0000_s1135" type="#_x0000_t32" style="position:absolute;left:7123;top:12546;width:2871;height:180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" strokecolor="#4a7ebb" strokeweight="1pt">
                        <v:stroke endarrow="block"/>
                      </v:shape>
                      <v:shape id="Straight Arrow Connector 1768" o:spid="_x0000_s1136" type="#_x0000_t32" style="position:absolute;left:5954;top:21584;width:2652;height:20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" strokecolor="#4a7ebb" strokeweight="1p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777" o:spid="_x0000_s1137" type="#_x0000_t34" style="position:absolute;left:30196;top:1488;width:15528;height:12759;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" adj="-146" strokecolor="#4a7ebb" strokeweight="1pt">
                        <v:stroke endarrow="block"/>
                      </v:shape>
                      <v:shape id="Straight Arrow Connector 1778" o:spid="_x0000_s1138" type="#_x0000_t32" style="position:absolute;left:35725;top:17862;width:233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" strokecolor="#4a7ebb" strokeweight="1pt">
                        <v:stroke startarrow="block"/>
                      </v:shape>
                    </v:group>
                  </v:group>
                </v:group>
                <w10:anchorlock/>
              </v:group>
            </w:pict>
          </mc:Fallback>
        </mc:AlternateContent>
      </w:r>
    </w:p>
    <w:p w:rsidR="007E360C" w:rsidRPr="00496FD7" w:rsidRDefault="007E360C" w:rsidP="007E360C">
      <w:pPr>
        <w:pStyle w:val="ListParagraph"/>
        <w:ind w:left="0"/>
        <w:rPr>
          <w:szCs w:val="24"/>
          <w:lang w:eastAsia="bg-BG"/>
        </w:rPr>
      </w:pPr>
    </w:p>
    <w:p w:rsidR="007E360C" w:rsidRPr="00496FD7" w:rsidRDefault="007E360C" w:rsidP="007E360C">
      <w:pPr>
        <w:pStyle w:val="ListParagraph"/>
        <w:ind w:left="0"/>
        <w:rPr>
          <w:szCs w:val="24"/>
          <w:lang w:eastAsia="bg-BG"/>
        </w:rPr>
      </w:pPr>
    </w:p>
    <w:p w:rsidR="007E360C" w:rsidRPr="00496FD7" w:rsidRDefault="007E360C" w:rsidP="007E360C">
      <w:pPr>
        <w:ind w:left="720"/>
        <w:contextualSpacing/>
        <w:rPr>
          <w:szCs w:val="24"/>
          <w:lang w:eastAsia="bg-BG"/>
        </w:rPr>
      </w:pPr>
      <w:r w:rsidRPr="00496FD7">
        <w:rPr>
          <w:szCs w:val="24"/>
          <w:lang w:eastAsia="bg-BG"/>
        </w:rPr>
        <w:t xml:space="preserve">Стандартно АРП е структуриран в седем стъпки: </w:t>
      </w:r>
    </w:p>
    <w:p w:rsidR="007E360C" w:rsidRPr="00496FD7" w:rsidRDefault="007E360C" w:rsidP="00E80472">
      <w:pPr>
        <w:pStyle w:val="ListParagraph"/>
        <w:numPr>
          <w:ilvl w:val="0"/>
          <w:numId w:val="26"/>
        </w:numPr>
        <w:rPr>
          <w:szCs w:val="24"/>
          <w:lang w:eastAsia="bg-BG"/>
        </w:rPr>
      </w:pPr>
      <w:r w:rsidRPr="00496FD7">
        <w:rPr>
          <w:szCs w:val="24"/>
          <w:lang w:eastAsia="bg-BG"/>
        </w:rPr>
        <w:t>Описание на предпоставките;</w:t>
      </w:r>
    </w:p>
    <w:p w:rsidR="007E360C" w:rsidRPr="00496FD7" w:rsidRDefault="007E360C" w:rsidP="00E80472">
      <w:pPr>
        <w:pStyle w:val="ListParagraph"/>
        <w:numPr>
          <w:ilvl w:val="0"/>
          <w:numId w:val="26"/>
        </w:numPr>
        <w:rPr>
          <w:szCs w:val="24"/>
          <w:lang w:eastAsia="bg-BG"/>
        </w:rPr>
      </w:pPr>
      <w:r w:rsidRPr="00496FD7">
        <w:rPr>
          <w:szCs w:val="24"/>
          <w:lang w:eastAsia="bg-BG"/>
        </w:rPr>
        <w:t>Дефиниране на целите;</w:t>
      </w:r>
    </w:p>
    <w:p w:rsidR="007E360C" w:rsidRPr="00496FD7" w:rsidRDefault="007E360C" w:rsidP="00E80472">
      <w:pPr>
        <w:pStyle w:val="ListParagraph"/>
        <w:numPr>
          <w:ilvl w:val="0"/>
          <w:numId w:val="26"/>
        </w:numPr>
        <w:rPr>
          <w:szCs w:val="24"/>
          <w:lang w:eastAsia="bg-BG"/>
        </w:rPr>
      </w:pPr>
      <w:r w:rsidRPr="00496FD7">
        <w:rPr>
          <w:szCs w:val="24"/>
          <w:lang w:eastAsia="bg-BG"/>
        </w:rPr>
        <w:t>Идентификация на проекта;</w:t>
      </w:r>
    </w:p>
    <w:p w:rsidR="007E360C" w:rsidRPr="00496FD7" w:rsidRDefault="007E360C" w:rsidP="00E80472">
      <w:pPr>
        <w:pStyle w:val="ListParagraph"/>
        <w:numPr>
          <w:ilvl w:val="0"/>
          <w:numId w:val="26"/>
        </w:numPr>
        <w:rPr>
          <w:szCs w:val="24"/>
          <w:lang w:eastAsia="bg-BG"/>
        </w:rPr>
      </w:pPr>
      <w:r w:rsidRPr="00496FD7">
        <w:rPr>
          <w:szCs w:val="24"/>
          <w:lang w:eastAsia="bg-BG"/>
        </w:rPr>
        <w:t>Технически проучвания и екологична устойчивост;</w:t>
      </w:r>
    </w:p>
    <w:p w:rsidR="007E360C" w:rsidRPr="00496FD7" w:rsidRDefault="007E360C" w:rsidP="00E80472">
      <w:pPr>
        <w:pStyle w:val="ListParagraph"/>
        <w:numPr>
          <w:ilvl w:val="0"/>
          <w:numId w:val="26"/>
        </w:numPr>
        <w:rPr>
          <w:szCs w:val="24"/>
          <w:lang w:eastAsia="bg-BG"/>
        </w:rPr>
      </w:pPr>
      <w:r w:rsidRPr="00496FD7">
        <w:rPr>
          <w:szCs w:val="24"/>
          <w:lang w:eastAsia="bg-BG"/>
        </w:rPr>
        <w:t>Финансов анализ;</w:t>
      </w:r>
    </w:p>
    <w:p w:rsidR="007E360C" w:rsidRPr="00496FD7" w:rsidRDefault="007E360C" w:rsidP="00E80472">
      <w:pPr>
        <w:pStyle w:val="ListParagraph"/>
        <w:numPr>
          <w:ilvl w:val="0"/>
          <w:numId w:val="26"/>
        </w:numPr>
        <w:rPr>
          <w:szCs w:val="24"/>
          <w:lang w:eastAsia="bg-BG"/>
        </w:rPr>
      </w:pPr>
      <w:r w:rsidRPr="00496FD7">
        <w:rPr>
          <w:szCs w:val="24"/>
          <w:lang w:eastAsia="bg-BG"/>
        </w:rPr>
        <w:t>Икономически анализ;</w:t>
      </w:r>
    </w:p>
    <w:p w:rsidR="007E360C" w:rsidRPr="00496FD7" w:rsidRDefault="007E360C" w:rsidP="00E80472">
      <w:pPr>
        <w:pStyle w:val="ListParagraph"/>
        <w:numPr>
          <w:ilvl w:val="0"/>
          <w:numId w:val="26"/>
        </w:numPr>
        <w:rPr>
          <w:szCs w:val="24"/>
          <w:lang w:eastAsia="bg-BG"/>
        </w:rPr>
      </w:pPr>
      <w:r w:rsidRPr="00496FD7">
        <w:rPr>
          <w:szCs w:val="24"/>
          <w:lang w:eastAsia="bg-BG"/>
        </w:rPr>
        <w:t xml:space="preserve">Оценка на риска; </w:t>
      </w:r>
    </w:p>
    <w:p w:rsidR="007E360C" w:rsidRPr="00496FD7" w:rsidRDefault="007E360C" w:rsidP="007E360C">
      <w:pPr>
        <w:rPr>
          <w:szCs w:val="24"/>
        </w:rPr>
      </w:pPr>
    </w:p>
    <w:p w:rsidR="007E360C" w:rsidRPr="00496FD7" w:rsidRDefault="007E360C" w:rsidP="008477E2">
      <w:pPr>
        <w:pStyle w:val="Style3"/>
        <w:rPr>
          <w:lang w:eastAsia="bg-BG"/>
        </w:rPr>
      </w:pPr>
      <w:bookmarkStart w:id="143" w:name="_Toc479775661"/>
      <w:r w:rsidRPr="00496FD7">
        <w:t xml:space="preserve">Оценка на проектното предложение в съответствие с </w:t>
      </w:r>
      <w:bookmarkEnd w:id="143"/>
      <w:r w:rsidR="008477E2" w:rsidRPr="00496FD7">
        <w:rPr>
          <w:lang w:val="bg-BG"/>
        </w:rPr>
        <w:t>чл. 73 от Регламент 1060/2023 г.</w:t>
      </w:r>
    </w:p>
    <w:p w:rsidR="00A6118D" w:rsidRPr="00496FD7" w:rsidRDefault="007E360C" w:rsidP="0039478F">
      <w:pPr>
        <w:tabs>
          <w:tab w:val="left" w:pos="851"/>
        </w:tabs>
        <w:contextualSpacing/>
        <w:rPr>
          <w:szCs w:val="24"/>
        </w:rPr>
      </w:pPr>
      <w:bookmarkStart w:id="144" w:name="_Ref413933803"/>
      <w:r w:rsidRPr="00496FD7">
        <w:rPr>
          <w:szCs w:val="24"/>
        </w:rPr>
        <w:t xml:space="preserve">Оценителната комисия </w:t>
      </w:r>
      <w:r w:rsidRPr="00496FD7">
        <w:rPr>
          <w:szCs w:val="24"/>
          <w:lang w:eastAsia="bg-BG"/>
        </w:rPr>
        <w:t xml:space="preserve">извършва оценка на проектните предложения, включваща оценка на административното съответствие и допустимостта и </w:t>
      </w:r>
      <w:r w:rsidR="00A6118D" w:rsidRPr="00496FD7">
        <w:rPr>
          <w:szCs w:val="24"/>
        </w:rPr>
        <w:t>оценява проектното предложение.</w:t>
      </w:r>
      <w:r w:rsidR="0039478F" w:rsidRPr="00496FD7">
        <w:rPr>
          <w:szCs w:val="24"/>
        </w:rPr>
        <w:t xml:space="preserve"> Съгласно чл. 73 от Регламент 1060/2023 г.</w:t>
      </w:r>
    </w:p>
    <w:p w:rsidR="00A6118D" w:rsidRPr="00496FD7" w:rsidRDefault="00A6118D" w:rsidP="0039478F">
      <w:pPr>
        <w:pStyle w:val="ListParagraph"/>
        <w:numPr>
          <w:ilvl w:val="1"/>
          <w:numId w:val="15"/>
        </w:numPr>
        <w:tabs>
          <w:tab w:val="left" w:pos="709"/>
          <w:tab w:val="left" w:pos="851"/>
        </w:tabs>
        <w:ind w:left="0" w:firstLine="567"/>
        <w:rPr>
          <w:szCs w:val="24"/>
        </w:rPr>
      </w:pPr>
      <w:r w:rsidRPr="00496FD7">
        <w:rPr>
          <w:szCs w:val="24"/>
        </w:rPr>
        <w:t xml:space="preserve">За целите на подбора на операции управляващият орган определя и прилага критерии и процедури, които са недискриминационни, прозрачни, гарантират достъп на лицата с увреждания, осигуряват равенство между половете и са съобразени с </w:t>
      </w:r>
      <w:r w:rsidRPr="00496FD7">
        <w:rPr>
          <w:szCs w:val="24"/>
        </w:rPr>
        <w:lastRenderedPageBreak/>
        <w:t>разпоредбите на Хартата на основните права на Европейския съюз, с принципа на устойчивото развитие и с политиката на Съюза в областта на околната среда в съответствие с член 11 и член 191, параграф 1 от ДФЕС.</w:t>
      </w:r>
    </w:p>
    <w:p w:rsidR="00A6118D" w:rsidRPr="00496FD7" w:rsidRDefault="00A6118D" w:rsidP="00A6118D">
      <w:pPr>
        <w:ind w:left="426" w:firstLine="0"/>
        <w:contextualSpacing/>
        <w:rPr>
          <w:szCs w:val="24"/>
        </w:rPr>
      </w:pPr>
      <w:r w:rsidRPr="00496FD7">
        <w:rPr>
          <w:szCs w:val="24"/>
        </w:rPr>
        <w:t>Критериите и процедурите гарантират, че подбираните операции се ползват с приоритет с цел максимално увеличаване на приноса на финансирането от Съюза за постигане на целите на програмата.</w:t>
      </w:r>
    </w:p>
    <w:p w:rsidR="00A6118D" w:rsidRPr="00496FD7" w:rsidRDefault="00A6118D" w:rsidP="00A6118D">
      <w:pPr>
        <w:ind w:left="426" w:hanging="426"/>
        <w:contextualSpacing/>
        <w:rPr>
          <w:szCs w:val="24"/>
        </w:rPr>
      </w:pPr>
    </w:p>
    <w:p w:rsidR="00A6118D" w:rsidRPr="00496FD7" w:rsidRDefault="00A6118D" w:rsidP="0039478F">
      <w:pPr>
        <w:pStyle w:val="ListParagraph"/>
        <w:numPr>
          <w:ilvl w:val="1"/>
          <w:numId w:val="15"/>
        </w:numPr>
        <w:tabs>
          <w:tab w:val="left" w:pos="709"/>
          <w:tab w:val="left" w:pos="851"/>
        </w:tabs>
        <w:ind w:left="0" w:firstLine="567"/>
        <w:rPr>
          <w:szCs w:val="24"/>
        </w:rPr>
      </w:pPr>
      <w:r w:rsidRPr="00496FD7">
        <w:rPr>
          <w:szCs w:val="24"/>
        </w:rPr>
        <w:t>При подбора на операциите управляващият орган:</w:t>
      </w:r>
    </w:p>
    <w:p w:rsidR="00A6118D" w:rsidRPr="00496FD7" w:rsidRDefault="00A6118D" w:rsidP="00A6118D">
      <w:pPr>
        <w:ind w:left="426" w:hanging="426"/>
        <w:contextualSpacing/>
        <w:rPr>
          <w:szCs w:val="24"/>
        </w:rPr>
      </w:pPr>
      <w:r w:rsidRPr="00496FD7">
        <w:rPr>
          <w:szCs w:val="24"/>
        </w:rPr>
        <w:t>а) гарантира, че подбраните операции съответстват на програмата, включително тяхната съгласуваност със съответните стратегии, залегнали в основата на програмата, и осигуряват ефективен принос за постигането на нейните специфични цели;</w:t>
      </w:r>
    </w:p>
    <w:p w:rsidR="00A6118D" w:rsidRPr="00496FD7" w:rsidRDefault="00A6118D" w:rsidP="00A6118D">
      <w:pPr>
        <w:ind w:left="426" w:hanging="426"/>
        <w:contextualSpacing/>
        <w:rPr>
          <w:szCs w:val="24"/>
        </w:rPr>
      </w:pPr>
    </w:p>
    <w:p w:rsidR="00A6118D" w:rsidRPr="00496FD7" w:rsidRDefault="00A6118D" w:rsidP="00A6118D">
      <w:pPr>
        <w:ind w:left="426" w:hanging="426"/>
        <w:contextualSpacing/>
        <w:rPr>
          <w:szCs w:val="24"/>
        </w:rPr>
      </w:pPr>
      <w:r w:rsidRPr="00496FD7">
        <w:rPr>
          <w:szCs w:val="24"/>
        </w:rPr>
        <w:t>б) гарантира, че подбраните операции, за които е приложимо отключващо условие, са съгласувани със съответните стратегии и документи за планиране, приети за спазването на това отключващо условие;</w:t>
      </w:r>
    </w:p>
    <w:p w:rsidR="00A6118D" w:rsidRPr="00496FD7" w:rsidRDefault="00A6118D" w:rsidP="00A6118D">
      <w:pPr>
        <w:ind w:left="426" w:hanging="426"/>
        <w:contextualSpacing/>
        <w:rPr>
          <w:szCs w:val="24"/>
        </w:rPr>
      </w:pPr>
    </w:p>
    <w:p w:rsidR="00A6118D" w:rsidRPr="00496FD7" w:rsidRDefault="00A6118D" w:rsidP="00A6118D">
      <w:pPr>
        <w:ind w:left="426" w:hanging="426"/>
        <w:contextualSpacing/>
        <w:rPr>
          <w:szCs w:val="24"/>
        </w:rPr>
      </w:pPr>
      <w:r w:rsidRPr="00496FD7">
        <w:rPr>
          <w:szCs w:val="24"/>
        </w:rPr>
        <w:t>в) гарантира, че подбраните операции представляват най-доброто съотношение между размера на подкрепата, изпълняваните дейности и постигането на поставените цели;</w:t>
      </w:r>
    </w:p>
    <w:p w:rsidR="00A6118D" w:rsidRPr="00496FD7" w:rsidRDefault="00A6118D" w:rsidP="00A6118D">
      <w:pPr>
        <w:ind w:left="426" w:hanging="426"/>
        <w:contextualSpacing/>
        <w:rPr>
          <w:szCs w:val="24"/>
        </w:rPr>
      </w:pPr>
    </w:p>
    <w:p w:rsidR="00A6118D" w:rsidRPr="00496FD7" w:rsidRDefault="00A6118D" w:rsidP="00A6118D">
      <w:pPr>
        <w:ind w:left="426" w:hanging="426"/>
        <w:contextualSpacing/>
        <w:rPr>
          <w:szCs w:val="24"/>
        </w:rPr>
      </w:pPr>
      <w:r w:rsidRPr="00496FD7">
        <w:rPr>
          <w:szCs w:val="24"/>
        </w:rPr>
        <w:t>г) се уверява, че бенефициерът разполага с необходимите финансови ресурси и механизми за покриване на оперативните разходи и разходите за поддръжка по операциите, включващи инвестиции в инфраструктура или производствени инвестиции, за да гарантира тяхната финансова устойчивост;</w:t>
      </w:r>
    </w:p>
    <w:p w:rsidR="00A6118D" w:rsidRPr="00496FD7" w:rsidRDefault="00A6118D" w:rsidP="00A6118D">
      <w:pPr>
        <w:ind w:left="993" w:hanging="426"/>
        <w:contextualSpacing/>
        <w:rPr>
          <w:szCs w:val="24"/>
        </w:rPr>
      </w:pPr>
    </w:p>
    <w:p w:rsidR="00A6118D" w:rsidRPr="00496FD7" w:rsidRDefault="00A6118D" w:rsidP="00A6118D">
      <w:pPr>
        <w:ind w:left="993" w:hanging="426"/>
        <w:contextualSpacing/>
        <w:rPr>
          <w:szCs w:val="24"/>
        </w:rPr>
      </w:pPr>
      <w:r w:rsidRPr="00496FD7">
        <w:rPr>
          <w:szCs w:val="24"/>
        </w:rPr>
        <w:t>д) гарантира, че подбраните операции, които попадат в обхвата на Директива 2011/92/ЕС на Европейския парламент и на Съвета ( 20 ), подлежат на оценка на въздействието върху околната среда или процедура по проучване и че оценката на алтернативните решения е взета надлежно предвид въз основа на изискванията на посочената директива;</w:t>
      </w:r>
    </w:p>
    <w:p w:rsidR="00A6118D" w:rsidRPr="00496FD7" w:rsidRDefault="00A6118D" w:rsidP="00A6118D">
      <w:pPr>
        <w:ind w:left="993" w:hanging="426"/>
        <w:contextualSpacing/>
        <w:rPr>
          <w:szCs w:val="24"/>
        </w:rPr>
      </w:pPr>
    </w:p>
    <w:p w:rsidR="00A6118D" w:rsidRPr="00496FD7" w:rsidRDefault="00A6118D" w:rsidP="00A6118D">
      <w:pPr>
        <w:ind w:left="993" w:hanging="426"/>
        <w:contextualSpacing/>
        <w:rPr>
          <w:szCs w:val="24"/>
        </w:rPr>
      </w:pPr>
      <w:r w:rsidRPr="00496FD7">
        <w:rPr>
          <w:szCs w:val="24"/>
        </w:rPr>
        <w:t>е) се уверява, че когато операциите са започнали преди подаването на заявление за финансиране до управляващия орган, приложимото право е било спазено;</w:t>
      </w:r>
    </w:p>
    <w:p w:rsidR="00A6118D" w:rsidRPr="00496FD7" w:rsidRDefault="00A6118D" w:rsidP="00A6118D">
      <w:pPr>
        <w:ind w:left="993" w:hanging="426"/>
        <w:contextualSpacing/>
        <w:rPr>
          <w:szCs w:val="24"/>
        </w:rPr>
      </w:pPr>
    </w:p>
    <w:p w:rsidR="00A6118D" w:rsidRPr="00496FD7" w:rsidRDefault="00A6118D" w:rsidP="00A6118D">
      <w:pPr>
        <w:ind w:left="993" w:hanging="426"/>
        <w:contextualSpacing/>
        <w:rPr>
          <w:szCs w:val="24"/>
        </w:rPr>
      </w:pPr>
      <w:r w:rsidRPr="00496FD7">
        <w:rPr>
          <w:szCs w:val="24"/>
        </w:rPr>
        <w:t>ж) гарантира, че подбраните операции попадат в обхвата на съответния фонд и се отнасят до вид интервенция;</w:t>
      </w:r>
    </w:p>
    <w:p w:rsidR="00A6118D" w:rsidRPr="00496FD7" w:rsidRDefault="00A6118D" w:rsidP="00A6118D">
      <w:pPr>
        <w:ind w:left="993" w:hanging="426"/>
        <w:contextualSpacing/>
        <w:rPr>
          <w:szCs w:val="24"/>
        </w:rPr>
      </w:pPr>
    </w:p>
    <w:p w:rsidR="00A6118D" w:rsidRPr="00496FD7" w:rsidRDefault="00A6118D" w:rsidP="00A6118D">
      <w:pPr>
        <w:ind w:left="993" w:hanging="426"/>
        <w:contextualSpacing/>
        <w:rPr>
          <w:szCs w:val="24"/>
        </w:rPr>
      </w:pPr>
      <w:r w:rsidRPr="00496FD7">
        <w:rPr>
          <w:szCs w:val="24"/>
        </w:rPr>
        <w:t>з) гарантира, че операциите не включват дейности, които са били част от операция, подлежаща на преместване съгласно член 66, или които биха представлявали прехвърляне на производствена дейност в съответствие с член 65, параграф 1, буква а);</w:t>
      </w:r>
    </w:p>
    <w:p w:rsidR="00A6118D" w:rsidRPr="00496FD7" w:rsidRDefault="00A6118D" w:rsidP="00A6118D">
      <w:pPr>
        <w:ind w:left="993" w:hanging="426"/>
        <w:contextualSpacing/>
        <w:rPr>
          <w:szCs w:val="24"/>
        </w:rPr>
      </w:pPr>
    </w:p>
    <w:p w:rsidR="00A6118D" w:rsidRPr="00496FD7" w:rsidRDefault="00A6118D" w:rsidP="00A6118D">
      <w:pPr>
        <w:ind w:left="993" w:hanging="426"/>
        <w:contextualSpacing/>
        <w:rPr>
          <w:szCs w:val="24"/>
        </w:rPr>
      </w:pPr>
      <w:r w:rsidRPr="00496FD7">
        <w:rPr>
          <w:szCs w:val="24"/>
        </w:rPr>
        <w:t>и) гарантира, че подбраните операции не са пряко засегнати от мотивирано становище на Комисията по отношение на нарушение по член 258 от ДФЕС, което излага на риск законосъобразността и правилността на разходите или качеството на изпълнение на операциите;</w:t>
      </w:r>
    </w:p>
    <w:p w:rsidR="00A6118D" w:rsidRPr="00496FD7" w:rsidRDefault="00A6118D" w:rsidP="00A6118D">
      <w:pPr>
        <w:ind w:left="993" w:hanging="426"/>
        <w:contextualSpacing/>
        <w:rPr>
          <w:szCs w:val="24"/>
        </w:rPr>
      </w:pPr>
    </w:p>
    <w:p w:rsidR="00A6118D" w:rsidRPr="00496FD7" w:rsidRDefault="00A6118D" w:rsidP="00A6118D">
      <w:pPr>
        <w:ind w:left="993" w:hanging="426"/>
        <w:contextualSpacing/>
        <w:rPr>
          <w:szCs w:val="24"/>
        </w:rPr>
      </w:pPr>
      <w:r w:rsidRPr="00496FD7">
        <w:rPr>
          <w:szCs w:val="24"/>
        </w:rPr>
        <w:lastRenderedPageBreak/>
        <w:t>й) гарантира постигането на климатичната устойчивост на инфраструктурните инвестиции, чиято очаквана продължителност е най-малко 5 години.</w:t>
      </w:r>
    </w:p>
    <w:p w:rsidR="00A6118D" w:rsidRPr="00496FD7" w:rsidRDefault="00A6118D" w:rsidP="00A6118D">
      <w:pPr>
        <w:ind w:left="993" w:hanging="426"/>
        <w:contextualSpacing/>
        <w:rPr>
          <w:szCs w:val="24"/>
        </w:rPr>
      </w:pPr>
    </w:p>
    <w:p w:rsidR="00A6118D" w:rsidRPr="00496FD7" w:rsidRDefault="00A6118D" w:rsidP="0039478F">
      <w:pPr>
        <w:ind w:firstLine="709"/>
        <w:contextualSpacing/>
        <w:rPr>
          <w:szCs w:val="24"/>
        </w:rPr>
      </w:pPr>
      <w:r w:rsidRPr="00496FD7">
        <w:rPr>
          <w:szCs w:val="24"/>
        </w:rPr>
        <w:t>По отношение на буква б) от настоящия параграф, в случая на първата цел на политиката, посочена в член 3, параграф 1, буква а) от Регламента за ЕФРР и КФ, само операциите, които съответстват на специфичните цели, посочени в точки i) и iv) от посочената буква, са съгласувани със съответните стратегии за интелигентно специализиране.</w:t>
      </w:r>
    </w:p>
    <w:p w:rsidR="00A6118D" w:rsidRPr="00496FD7" w:rsidRDefault="00A6118D" w:rsidP="00A6118D">
      <w:pPr>
        <w:ind w:left="993" w:hanging="426"/>
        <w:contextualSpacing/>
        <w:rPr>
          <w:szCs w:val="24"/>
        </w:rPr>
      </w:pPr>
    </w:p>
    <w:p w:rsidR="00A6118D" w:rsidRPr="00496FD7" w:rsidRDefault="00A6118D" w:rsidP="00A6118D">
      <w:pPr>
        <w:ind w:left="993" w:hanging="426"/>
        <w:contextualSpacing/>
        <w:rPr>
          <w:szCs w:val="24"/>
        </w:rPr>
      </w:pPr>
      <w:r w:rsidRPr="00496FD7">
        <w:rPr>
          <w:szCs w:val="24"/>
        </w:rPr>
        <w:t>3.   Управляващият орган гарантира, че на бенефициера се осигурява документ, в който се посочват условията за оказване на подкрепа за всяка операция, включително специфичните изисквания относно продуктите или услугите, които трябва да бъдат доставени, планът за финансиране, сроковете за изпълнението му и, където е приложимо, методът, прилаган за определянето на разходите по операцията и условията за изплащане на подкрепата.</w:t>
      </w:r>
    </w:p>
    <w:p w:rsidR="00A6118D" w:rsidRPr="00496FD7" w:rsidRDefault="00A6118D" w:rsidP="00A6118D">
      <w:pPr>
        <w:ind w:left="993" w:hanging="426"/>
        <w:contextualSpacing/>
        <w:rPr>
          <w:szCs w:val="24"/>
        </w:rPr>
      </w:pPr>
      <w:r w:rsidRPr="00496FD7">
        <w:rPr>
          <w:szCs w:val="24"/>
        </w:rPr>
        <w:t>4.   За операции, получили Печат за високи постижения, или за операции, избрани по програма, съфинансирана от „Хоризонт Европа“, управляващият орган може да реши да предостави подкрепа пряко от ЕФРР или ЕСФ+, ако тези операции отговарят на изискванията, посочени в параграф 2, букви а), б) и ж).</w:t>
      </w:r>
    </w:p>
    <w:p w:rsidR="00A6118D" w:rsidRPr="00496FD7" w:rsidRDefault="00A6118D" w:rsidP="00A6118D">
      <w:pPr>
        <w:ind w:left="993" w:hanging="426"/>
        <w:contextualSpacing/>
        <w:rPr>
          <w:szCs w:val="24"/>
        </w:rPr>
      </w:pPr>
      <w:r w:rsidRPr="00496FD7">
        <w:rPr>
          <w:szCs w:val="24"/>
        </w:rPr>
        <w:t>Освен това управляващите органи могат да прилагат към операциите, посочени в първа алинея, категориите, максималните размери и методите за изчисляване на допустимите разходи, определени в съответния инструмент на Съюза. Тези елементи се излагат в документа, посочен в параграф 3.</w:t>
      </w:r>
    </w:p>
    <w:p w:rsidR="00A6118D" w:rsidRPr="00496FD7" w:rsidRDefault="00A6118D" w:rsidP="00A6118D">
      <w:pPr>
        <w:ind w:left="993" w:hanging="426"/>
        <w:contextualSpacing/>
        <w:rPr>
          <w:szCs w:val="24"/>
        </w:rPr>
      </w:pPr>
    </w:p>
    <w:p w:rsidR="007E360C" w:rsidRPr="00496FD7" w:rsidRDefault="00A6118D" w:rsidP="00A6118D">
      <w:pPr>
        <w:ind w:left="993" w:hanging="426"/>
        <w:contextualSpacing/>
        <w:rPr>
          <w:szCs w:val="24"/>
        </w:rPr>
      </w:pPr>
      <w:r w:rsidRPr="00496FD7">
        <w:rPr>
          <w:szCs w:val="24"/>
        </w:rPr>
        <w:t>5.   Когато управляващият орган избере дадена операция от стратегическо значение, в рамките на 1 месец той уведомява Комисията за това и ѝ предоставя цялата информация от значение за тази операция.</w:t>
      </w:r>
    </w:p>
    <w:p w:rsidR="007E360C" w:rsidRPr="00496FD7" w:rsidRDefault="007E360C" w:rsidP="007E360C">
      <w:pPr>
        <w:ind w:left="993" w:hanging="426"/>
        <w:contextualSpacing/>
        <w:rPr>
          <w:szCs w:val="24"/>
          <w:highlight w:val="yellow"/>
        </w:rPr>
      </w:pPr>
    </w:p>
    <w:p w:rsidR="007E360C" w:rsidRPr="00496FD7" w:rsidRDefault="007E360C" w:rsidP="007E360C">
      <w:pPr>
        <w:contextualSpacing/>
        <w:rPr>
          <w:szCs w:val="24"/>
          <w:lang w:eastAsia="bg-BG"/>
        </w:rPr>
      </w:pPr>
      <w:r w:rsidRPr="00496FD7">
        <w:rPr>
          <w:i/>
          <w:szCs w:val="24"/>
          <w:lang w:eastAsia="bg-BG"/>
        </w:rPr>
        <w:t>Срок за изпълнение:</w:t>
      </w:r>
      <w:r w:rsidRPr="00496FD7">
        <w:rPr>
          <w:szCs w:val="24"/>
          <w:lang w:eastAsia="bg-BG"/>
        </w:rPr>
        <w:t xml:space="preserve"> Съгласно срока, посочен в Решението за сформиране на оценителна комисия, но не повече от три месеца от датата на подаването им.</w:t>
      </w:r>
    </w:p>
    <w:p w:rsidR="007E360C" w:rsidRPr="00496FD7" w:rsidRDefault="007E360C" w:rsidP="007E360C">
      <w:pPr>
        <w:ind w:left="720"/>
        <w:contextualSpacing/>
        <w:rPr>
          <w:szCs w:val="24"/>
          <w:lang w:eastAsia="bg-BG"/>
        </w:rPr>
      </w:pPr>
    </w:p>
    <w:p w:rsidR="007E360C" w:rsidRPr="00496FD7" w:rsidRDefault="007E360C" w:rsidP="0039478F">
      <w:pPr>
        <w:tabs>
          <w:tab w:val="left" w:pos="851"/>
        </w:tabs>
        <w:contextualSpacing/>
        <w:rPr>
          <w:szCs w:val="24"/>
          <w:lang w:eastAsia="bg-BG"/>
        </w:rPr>
      </w:pPr>
      <w:r w:rsidRPr="00496FD7">
        <w:rPr>
          <w:szCs w:val="24"/>
          <w:lang w:eastAsia="bg-BG"/>
        </w:rPr>
        <w:t>В случаи на установени в процеса на оценка непълноти и/или нередовности на проектното предложение, то може да бъде връщано мотивирано на конкретния бенефициент при спазване на процедурата.</w:t>
      </w:r>
    </w:p>
    <w:p w:rsidR="007E360C" w:rsidRPr="00496FD7" w:rsidRDefault="007E360C" w:rsidP="007E360C">
      <w:pPr>
        <w:ind w:left="720"/>
        <w:contextualSpacing/>
        <w:rPr>
          <w:szCs w:val="24"/>
          <w:lang w:eastAsia="bg-BG"/>
        </w:rPr>
      </w:pPr>
    </w:p>
    <w:p w:rsidR="007E360C" w:rsidRPr="00496FD7" w:rsidRDefault="007E360C" w:rsidP="0039478F">
      <w:pPr>
        <w:tabs>
          <w:tab w:val="left" w:pos="1134"/>
        </w:tabs>
        <w:spacing w:before="120"/>
        <w:rPr>
          <w:szCs w:val="24"/>
          <w:lang w:eastAsia="bg-BG"/>
        </w:rPr>
      </w:pPr>
      <w:r w:rsidRPr="00F04E50">
        <w:rPr>
          <w:szCs w:val="24"/>
          <w:lang w:eastAsia="bg-BG"/>
        </w:rPr>
        <w:t>Член</w:t>
      </w:r>
      <w:r w:rsidR="0039478F" w:rsidRPr="00F04E50">
        <w:rPr>
          <w:szCs w:val="24"/>
          <w:lang w:eastAsia="bg-BG"/>
        </w:rPr>
        <w:t>овете</w:t>
      </w:r>
      <w:r w:rsidRPr="00F04E50">
        <w:rPr>
          <w:szCs w:val="24"/>
          <w:lang w:eastAsia="bg-BG"/>
        </w:rPr>
        <w:t xml:space="preserve"> на оценителната комисия</w:t>
      </w:r>
      <w:r w:rsidR="0039478F" w:rsidRPr="00F04E50">
        <w:rPr>
          <w:szCs w:val="24"/>
          <w:lang w:eastAsia="bg-BG"/>
        </w:rPr>
        <w:t xml:space="preserve"> </w:t>
      </w:r>
      <w:r w:rsidRPr="00F04E50">
        <w:rPr>
          <w:szCs w:val="24"/>
          <w:lang w:eastAsia="bg-BG"/>
        </w:rPr>
        <w:t>извършва</w:t>
      </w:r>
      <w:r w:rsidR="0039478F" w:rsidRPr="00F04E50">
        <w:rPr>
          <w:szCs w:val="24"/>
          <w:lang w:eastAsia="bg-BG"/>
        </w:rPr>
        <w:t>т</w:t>
      </w:r>
      <w:r w:rsidRPr="00F04E50">
        <w:rPr>
          <w:szCs w:val="24"/>
          <w:lang w:eastAsia="bg-BG"/>
        </w:rPr>
        <w:t xml:space="preserve"> проверка за съответствие с </w:t>
      </w:r>
      <w:r w:rsidR="00A31822" w:rsidRPr="00F04E50">
        <w:rPr>
          <w:szCs w:val="24"/>
          <w:lang w:eastAsia="bg-BG"/>
        </w:rPr>
        <w:t xml:space="preserve">насоките по процедурата и </w:t>
      </w:r>
      <w:r w:rsidRPr="00F04E50">
        <w:rPr>
          <w:szCs w:val="24"/>
          <w:lang w:eastAsia="bg-BG"/>
        </w:rPr>
        <w:t xml:space="preserve">правилата за допустимите държавни/ минимални помощи, съгласно </w:t>
      </w:r>
      <w:r w:rsidRPr="00F04E50">
        <w:rPr>
          <w:b/>
          <w:szCs w:val="24"/>
          <w:lang w:eastAsia="bg-BG"/>
        </w:rPr>
        <w:t>глава 2 „Държавни помощи“.</w:t>
      </w:r>
      <w:r w:rsidRPr="00F04E50">
        <w:rPr>
          <w:szCs w:val="24"/>
          <w:lang w:eastAsia="bg-BG"/>
        </w:rPr>
        <w:t xml:space="preserve"> Резултатите от проверката се записват в Контролен лист – </w:t>
      </w:r>
      <w:hyperlink r:id="rId44" w:tooltip="Контролен лист за предварителна оценка за  определяне наличието на държавна помощ - Тест за държавна помощ - изключения" w:history="1">
        <w:r w:rsidRPr="00F04E50">
          <w:rPr>
            <w:rStyle w:val="Hyperlink"/>
            <w:i/>
            <w:szCs w:val="24"/>
            <w:lang w:eastAsia="bg-BG"/>
          </w:rPr>
          <w:t xml:space="preserve">Приложение № </w:t>
        </w:r>
        <w:r w:rsidR="008A5167" w:rsidRPr="00F04E50">
          <w:rPr>
            <w:rStyle w:val="Hyperlink"/>
            <w:i/>
            <w:szCs w:val="24"/>
            <w:lang w:eastAsia="bg-BG"/>
          </w:rPr>
          <w:t>3</w:t>
        </w:r>
        <w:r w:rsidRPr="00F04E50">
          <w:rPr>
            <w:rStyle w:val="Hyperlink"/>
            <w:i/>
            <w:szCs w:val="24"/>
            <w:lang w:eastAsia="bg-BG"/>
          </w:rPr>
          <w:t>.0</w:t>
        </w:r>
        <w:r w:rsidR="008A5167" w:rsidRPr="00F04E50">
          <w:rPr>
            <w:rStyle w:val="Hyperlink"/>
            <w:i/>
            <w:szCs w:val="24"/>
            <w:lang w:eastAsia="bg-BG"/>
          </w:rPr>
          <w:t>3.</w:t>
        </w:r>
        <w:r w:rsidRPr="00F04E50">
          <w:rPr>
            <w:rStyle w:val="Hyperlink"/>
            <w:i/>
            <w:szCs w:val="24"/>
            <w:lang w:eastAsia="bg-BG"/>
          </w:rPr>
          <w:t>2</w:t>
        </w:r>
      </w:hyperlink>
      <w:r w:rsidR="00A80A0F" w:rsidRPr="00F04E50">
        <w:rPr>
          <w:rStyle w:val="Hyperlink"/>
          <w:i/>
          <w:szCs w:val="24"/>
          <w:lang w:eastAsia="bg-BG"/>
        </w:rPr>
        <w:t xml:space="preserve"> (когато съгласно насоките </w:t>
      </w:r>
      <w:r w:rsidR="00A31822" w:rsidRPr="00F04E50">
        <w:rPr>
          <w:rStyle w:val="Hyperlink"/>
          <w:i/>
          <w:szCs w:val="24"/>
          <w:lang w:eastAsia="bg-BG"/>
        </w:rPr>
        <w:t>финансираните мерки/</w:t>
      </w:r>
      <w:r w:rsidR="00A80A0F" w:rsidRPr="00F04E50">
        <w:rPr>
          <w:rStyle w:val="Hyperlink"/>
          <w:i/>
          <w:szCs w:val="24"/>
          <w:lang w:eastAsia="bg-BG"/>
        </w:rPr>
        <w:t>дейностите попадат в изключенията за ДП</w:t>
      </w:r>
      <w:r w:rsidRPr="00F04E50">
        <w:rPr>
          <w:b/>
          <w:i/>
          <w:szCs w:val="24"/>
          <w:lang w:eastAsia="bg-BG"/>
        </w:rPr>
        <w:t xml:space="preserve">, </w:t>
      </w:r>
      <w:hyperlink r:id="rId45" w:tooltip="Контролен лист за предварителна оценка за определяне на приложим към мярката режим  на съвместима държавна помощ" w:history="1">
        <w:r w:rsidRPr="00F04E50">
          <w:rPr>
            <w:rStyle w:val="Hyperlink"/>
            <w:i/>
            <w:szCs w:val="24"/>
            <w:lang w:eastAsia="bg-BG"/>
          </w:rPr>
          <w:t xml:space="preserve">Приложение № </w:t>
        </w:r>
        <w:r w:rsidR="008A5167" w:rsidRPr="00F04E50">
          <w:rPr>
            <w:rStyle w:val="Hyperlink"/>
            <w:i/>
            <w:szCs w:val="24"/>
            <w:lang w:eastAsia="bg-BG"/>
          </w:rPr>
          <w:t>3</w:t>
        </w:r>
        <w:r w:rsidRPr="00F04E50">
          <w:rPr>
            <w:rStyle w:val="Hyperlink"/>
            <w:i/>
            <w:szCs w:val="24"/>
            <w:lang w:eastAsia="bg-BG"/>
          </w:rPr>
          <w:t>.03</w:t>
        </w:r>
        <w:r w:rsidR="008A5167" w:rsidRPr="00F04E50">
          <w:rPr>
            <w:rStyle w:val="Hyperlink"/>
            <w:i/>
            <w:szCs w:val="24"/>
            <w:lang w:eastAsia="bg-BG"/>
          </w:rPr>
          <w:t>.3</w:t>
        </w:r>
      </w:hyperlink>
      <w:r w:rsidR="00F6623F" w:rsidRPr="00F04E50">
        <w:rPr>
          <w:rStyle w:val="Hyperlink"/>
          <w:i/>
          <w:szCs w:val="24"/>
          <w:lang w:eastAsia="bg-BG"/>
        </w:rPr>
        <w:t xml:space="preserve"> (когато </w:t>
      </w:r>
      <w:r w:rsidR="00A31822" w:rsidRPr="00F04E50">
        <w:rPr>
          <w:rStyle w:val="Hyperlink"/>
          <w:i/>
          <w:szCs w:val="24"/>
          <w:lang w:eastAsia="bg-BG"/>
        </w:rPr>
        <w:t xml:space="preserve">съгласно насоките по процедурата финансираните мерки/дейности </w:t>
      </w:r>
      <w:r w:rsidR="00F6623F" w:rsidRPr="00F04E50">
        <w:rPr>
          <w:rStyle w:val="Hyperlink"/>
          <w:i/>
          <w:szCs w:val="24"/>
          <w:lang w:eastAsia="bg-BG"/>
        </w:rPr>
        <w:t>е съвместима ДП</w:t>
      </w:r>
      <w:r w:rsidRPr="00F04E50">
        <w:rPr>
          <w:b/>
          <w:i/>
          <w:szCs w:val="24"/>
          <w:lang w:eastAsia="bg-BG"/>
        </w:rPr>
        <w:t xml:space="preserve">) </w:t>
      </w:r>
      <w:r w:rsidRPr="00F04E50">
        <w:rPr>
          <w:szCs w:val="24"/>
          <w:lang w:eastAsia="bg-BG"/>
        </w:rPr>
        <w:t>в ИСУН 2020</w:t>
      </w:r>
      <w:r w:rsidRPr="00F04E50">
        <w:rPr>
          <w:i/>
          <w:szCs w:val="24"/>
          <w:lang w:eastAsia="bg-BG"/>
        </w:rPr>
        <w:t>.</w:t>
      </w:r>
      <w:r w:rsidRPr="00F04E50">
        <w:rPr>
          <w:szCs w:val="24"/>
          <w:lang w:eastAsia="bg-BG"/>
        </w:rPr>
        <w:t xml:space="preserve"> Председателят на оценителната комисия извършва втора проверка на попълнения контролен лист в системата.</w:t>
      </w:r>
    </w:p>
    <w:p w:rsidR="007E360C" w:rsidRPr="00496FD7" w:rsidRDefault="007E360C" w:rsidP="0039478F">
      <w:pPr>
        <w:tabs>
          <w:tab w:val="left" w:pos="1134"/>
        </w:tabs>
        <w:spacing w:before="120" w:after="120"/>
        <w:rPr>
          <w:szCs w:val="24"/>
          <w:lang w:eastAsia="bg-BG"/>
        </w:rPr>
      </w:pPr>
      <w:r w:rsidRPr="00496FD7">
        <w:rPr>
          <w:szCs w:val="24"/>
        </w:rPr>
        <w:t xml:space="preserve">Всеки оценител с право на глас отразява в ИСУН 2020 резултатите от извършената оценка, съдържаща мотивирано заключение, направено по време на </w:t>
      </w:r>
      <w:r w:rsidRPr="00496FD7">
        <w:rPr>
          <w:szCs w:val="24"/>
        </w:rPr>
        <w:lastRenderedPageBreak/>
        <w:t xml:space="preserve">цялостната оценка по отношение на </w:t>
      </w:r>
      <w:r w:rsidRPr="00496FD7">
        <w:rPr>
          <w:szCs w:val="24"/>
          <w:lang w:eastAsia="bg-BG"/>
        </w:rPr>
        <w:t>критериите</w:t>
      </w:r>
      <w:r w:rsidRPr="00496FD7">
        <w:rPr>
          <w:szCs w:val="24"/>
        </w:rPr>
        <w:t xml:space="preserve"> за оценка на </w:t>
      </w:r>
      <w:r w:rsidRPr="00496FD7">
        <w:rPr>
          <w:szCs w:val="24"/>
          <w:lang w:eastAsia="bg-BG"/>
        </w:rPr>
        <w:t xml:space="preserve">проекта и в съответствие с критериите за оценка на проекти, съгласно </w:t>
      </w:r>
      <w:r w:rsidR="007C4548" w:rsidRPr="00496FD7">
        <w:rPr>
          <w:szCs w:val="24"/>
          <w:lang w:eastAsia="bg-BG"/>
        </w:rPr>
        <w:t>Насоките по процедурата</w:t>
      </w:r>
      <w:r w:rsidRPr="00496FD7">
        <w:rPr>
          <w:szCs w:val="24"/>
          <w:lang w:eastAsia="bg-BG"/>
        </w:rPr>
        <w:t>.</w:t>
      </w:r>
    </w:p>
    <w:p w:rsidR="007E360C" w:rsidRPr="00496FD7" w:rsidRDefault="0039478F" w:rsidP="0039478F">
      <w:pPr>
        <w:tabs>
          <w:tab w:val="left" w:pos="851"/>
          <w:tab w:val="left" w:pos="993"/>
        </w:tabs>
        <w:ind w:firstLine="0"/>
        <w:contextualSpacing/>
        <w:rPr>
          <w:szCs w:val="24"/>
          <w:lang w:eastAsia="bg-BG"/>
        </w:rPr>
      </w:pPr>
      <w:r w:rsidRPr="00496FD7">
        <w:rPr>
          <w:szCs w:val="24"/>
          <w:lang w:eastAsia="bg-BG"/>
        </w:rPr>
        <w:tab/>
      </w:r>
      <w:r w:rsidR="007E360C" w:rsidRPr="00496FD7">
        <w:rPr>
          <w:szCs w:val="24"/>
          <w:lang w:eastAsia="bg-BG"/>
        </w:rPr>
        <w:t xml:space="preserve">Член на оценителната комисия, определен от председателя й извършва проверка за липса на двойно </w:t>
      </w:r>
      <w:r w:rsidRPr="00496FD7">
        <w:rPr>
          <w:szCs w:val="24"/>
          <w:lang w:eastAsia="bg-BG"/>
        </w:rPr>
        <w:t>финансиране</w:t>
      </w:r>
      <w:r w:rsidR="007E360C" w:rsidRPr="00496FD7">
        <w:t xml:space="preserve"> </w:t>
      </w:r>
      <w:r w:rsidR="007E360C" w:rsidRPr="00496FD7">
        <w:rPr>
          <w:szCs w:val="24"/>
          <w:lang w:eastAsia="bg-BG"/>
        </w:rPr>
        <w:t xml:space="preserve">и резултатите от проверката се записват в Контролен лист </w:t>
      </w:r>
      <w:r w:rsidR="007E360C" w:rsidRPr="00496FD7">
        <w:rPr>
          <w:i/>
          <w:szCs w:val="24"/>
          <w:lang w:eastAsia="bg-BG"/>
        </w:rPr>
        <w:t>(</w:t>
      </w:r>
      <w:hyperlink r:id="rId46" w:tooltip="Контролен лист за извършена проверка в ИСУН за липса на двойно финансиране" w:history="1">
        <w:r w:rsidR="007E360C" w:rsidRPr="00496FD7">
          <w:rPr>
            <w:rStyle w:val="Hyperlink"/>
            <w:i/>
            <w:szCs w:val="24"/>
            <w:lang w:eastAsia="bg-BG"/>
          </w:rPr>
          <w:t>Приложение № 3.0</w:t>
        </w:r>
        <w:r w:rsidR="00F04E50">
          <w:rPr>
            <w:rStyle w:val="Hyperlink"/>
            <w:i/>
            <w:szCs w:val="24"/>
            <w:lang w:eastAsia="bg-BG"/>
          </w:rPr>
          <w:t>3.</w:t>
        </w:r>
      </w:hyperlink>
      <w:r w:rsidR="00F04E50">
        <w:rPr>
          <w:rStyle w:val="Hyperlink"/>
          <w:i/>
          <w:szCs w:val="24"/>
          <w:lang w:eastAsia="bg-BG"/>
        </w:rPr>
        <w:t>4</w:t>
      </w:r>
      <w:r w:rsidR="007E360C" w:rsidRPr="00496FD7">
        <w:rPr>
          <w:b/>
          <w:i/>
          <w:szCs w:val="24"/>
          <w:lang w:eastAsia="bg-BG"/>
        </w:rPr>
        <w:t xml:space="preserve">) </w:t>
      </w:r>
      <w:r w:rsidR="007E360C" w:rsidRPr="00496FD7">
        <w:rPr>
          <w:szCs w:val="24"/>
          <w:lang w:eastAsia="bg-BG"/>
        </w:rPr>
        <w:t>в ИСУН 2020.</w:t>
      </w:r>
      <w:r w:rsidR="007E360C" w:rsidRPr="00496FD7">
        <w:rPr>
          <w:b/>
          <w:i/>
          <w:szCs w:val="24"/>
          <w:lang w:eastAsia="bg-BG"/>
        </w:rPr>
        <w:t xml:space="preserve"> </w:t>
      </w:r>
      <w:r w:rsidR="007E360C" w:rsidRPr="00496FD7">
        <w:rPr>
          <w:szCs w:val="24"/>
          <w:lang w:eastAsia="bg-BG"/>
        </w:rPr>
        <w:t>Председателят на оценителната комисия извършва втора проверка на попълнения контролен лист в системата.</w:t>
      </w:r>
    </w:p>
    <w:p w:rsidR="007E360C" w:rsidRPr="00496FD7" w:rsidRDefault="007E360C" w:rsidP="007E360C">
      <w:pPr>
        <w:pStyle w:val="ListParagraph"/>
        <w:rPr>
          <w:szCs w:val="24"/>
          <w:lang w:eastAsia="bg-BG"/>
        </w:rPr>
      </w:pPr>
    </w:p>
    <w:p w:rsidR="007E360C" w:rsidRPr="00496FD7" w:rsidRDefault="007E360C" w:rsidP="00E80472">
      <w:pPr>
        <w:numPr>
          <w:ilvl w:val="0"/>
          <w:numId w:val="19"/>
        </w:numPr>
        <w:tabs>
          <w:tab w:val="left" w:pos="1134"/>
        </w:tabs>
        <w:ind w:left="0" w:firstLine="567"/>
        <w:contextualSpacing/>
        <w:rPr>
          <w:szCs w:val="24"/>
          <w:lang w:eastAsia="bg-BG"/>
        </w:rPr>
      </w:pPr>
      <w:r w:rsidRPr="00496FD7">
        <w:rPr>
          <w:szCs w:val="24"/>
          <w:lang w:eastAsia="bg-BG"/>
        </w:rPr>
        <w:t xml:space="preserve">Оценителната комисия изготвя доклад - </w:t>
      </w:r>
      <w:hyperlink r:id="rId47" w:history="1">
        <w:r w:rsidRPr="00F04E50">
          <w:rPr>
            <w:rStyle w:val="Hyperlink"/>
            <w:i/>
            <w:szCs w:val="24"/>
            <w:lang w:eastAsia="bg-BG"/>
          </w:rPr>
          <w:t>Приложение № 3.0</w:t>
        </w:r>
        <w:r w:rsidR="00F04E50">
          <w:rPr>
            <w:rStyle w:val="Hyperlink"/>
            <w:i/>
            <w:szCs w:val="24"/>
            <w:lang w:eastAsia="bg-BG"/>
          </w:rPr>
          <w:t>5</w:t>
        </w:r>
        <w:r w:rsidRPr="00F04E50">
          <w:rPr>
            <w:rStyle w:val="Hyperlink"/>
            <w:szCs w:val="24"/>
            <w:lang w:eastAsia="bg-BG"/>
          </w:rPr>
          <w:t>.</w:t>
        </w:r>
      </w:hyperlink>
    </w:p>
    <w:p w:rsidR="007E360C" w:rsidRPr="00496FD7" w:rsidRDefault="007E360C" w:rsidP="007E360C">
      <w:pPr>
        <w:ind w:left="720"/>
        <w:contextualSpacing/>
        <w:rPr>
          <w:szCs w:val="24"/>
          <w:lang w:eastAsia="bg-BG"/>
        </w:rPr>
      </w:pPr>
    </w:p>
    <w:p w:rsidR="007E360C" w:rsidRPr="00496FD7" w:rsidRDefault="007E360C" w:rsidP="007E360C">
      <w:pPr>
        <w:contextualSpacing/>
        <w:rPr>
          <w:szCs w:val="24"/>
          <w:lang w:eastAsia="bg-BG"/>
        </w:rPr>
      </w:pPr>
      <w:r w:rsidRPr="00496FD7">
        <w:rPr>
          <w:i/>
          <w:szCs w:val="24"/>
          <w:lang w:eastAsia="bg-BG"/>
        </w:rPr>
        <w:t>Срок за изпълнение:</w:t>
      </w:r>
      <w:r w:rsidRPr="00496FD7">
        <w:rPr>
          <w:szCs w:val="24"/>
          <w:lang w:eastAsia="bg-BG"/>
        </w:rPr>
        <w:t xml:space="preserve"> в съответствие със срока, посочен в решението за сформиране на оценителна комисия, но не повече от три месеца.</w:t>
      </w:r>
    </w:p>
    <w:p w:rsidR="007E360C" w:rsidRPr="00496FD7" w:rsidRDefault="007E360C" w:rsidP="007E360C">
      <w:pPr>
        <w:ind w:left="720"/>
        <w:contextualSpacing/>
        <w:rPr>
          <w:szCs w:val="24"/>
          <w:lang w:eastAsia="bg-BG"/>
        </w:rPr>
      </w:pPr>
    </w:p>
    <w:p w:rsidR="007E360C" w:rsidRPr="00496FD7" w:rsidRDefault="007E360C" w:rsidP="00E80472">
      <w:pPr>
        <w:numPr>
          <w:ilvl w:val="0"/>
          <w:numId w:val="19"/>
        </w:numPr>
        <w:tabs>
          <w:tab w:val="left" w:pos="1134"/>
        </w:tabs>
        <w:ind w:left="0" w:firstLine="567"/>
        <w:contextualSpacing/>
        <w:rPr>
          <w:szCs w:val="24"/>
          <w:lang w:eastAsia="bg-BG"/>
        </w:rPr>
      </w:pPr>
      <w:r w:rsidRPr="00496FD7">
        <w:rPr>
          <w:szCs w:val="24"/>
        </w:rPr>
        <w:t xml:space="preserve">След приключване на оценката, </w:t>
      </w:r>
      <w:r w:rsidRPr="00496FD7">
        <w:rPr>
          <w:szCs w:val="24"/>
          <w:lang w:eastAsia="bg-BG"/>
        </w:rPr>
        <w:t xml:space="preserve">председателя на оценителната комисия представя на началника на отдел „Програмиране”  оценения ФК, оценителите таблици на оценителите от ИСУН 2020, подписания от оценителите оценителен доклад, </w:t>
      </w:r>
      <w:r w:rsidR="0039478F" w:rsidRPr="00496FD7">
        <w:rPr>
          <w:szCs w:val="24"/>
          <w:lang w:eastAsia="bg-BG"/>
        </w:rPr>
        <w:t>съдържащ</w:t>
      </w:r>
      <w:r w:rsidRPr="00496FD7">
        <w:rPr>
          <w:szCs w:val="24"/>
          <w:lang w:eastAsia="bg-BG"/>
        </w:rPr>
        <w:t xml:space="preserve"> решение за одобрение на оценителния доклад и </w:t>
      </w:r>
      <w:r w:rsidR="0039478F" w:rsidRPr="00496FD7">
        <w:rPr>
          <w:szCs w:val="24"/>
          <w:lang w:eastAsia="bg-BG"/>
        </w:rPr>
        <w:t xml:space="preserve">решение за </w:t>
      </w:r>
      <w:r w:rsidRPr="00496FD7">
        <w:rPr>
          <w:szCs w:val="24"/>
          <w:lang w:eastAsia="bg-BG"/>
        </w:rPr>
        <w:t xml:space="preserve">предоставяне на БФП/ отхвърляне на проектно предложение, </w:t>
      </w:r>
      <w:r w:rsidRPr="00496FD7">
        <w:rPr>
          <w:szCs w:val="24"/>
        </w:rPr>
        <w:t xml:space="preserve">попълнени </w:t>
      </w:r>
      <w:r w:rsidRPr="00496FD7">
        <w:rPr>
          <w:szCs w:val="24"/>
          <w:lang w:eastAsia="bg-BG"/>
        </w:rPr>
        <w:t>контролни листа и всички документи свързани с процеса на извършване на оценката му за извършване на  проверка.</w:t>
      </w:r>
    </w:p>
    <w:p w:rsidR="007E360C" w:rsidRPr="00496FD7" w:rsidRDefault="007E360C" w:rsidP="007E360C">
      <w:pPr>
        <w:ind w:left="720"/>
        <w:contextualSpacing/>
        <w:rPr>
          <w:szCs w:val="24"/>
          <w:lang w:eastAsia="bg-BG"/>
        </w:rPr>
      </w:pPr>
    </w:p>
    <w:p w:rsidR="007E360C" w:rsidRPr="00496FD7" w:rsidRDefault="007E360C" w:rsidP="00E80472">
      <w:pPr>
        <w:numPr>
          <w:ilvl w:val="0"/>
          <w:numId w:val="19"/>
        </w:numPr>
        <w:tabs>
          <w:tab w:val="left" w:pos="1134"/>
        </w:tabs>
        <w:ind w:left="0" w:firstLine="567"/>
        <w:contextualSpacing/>
      </w:pPr>
      <w:r w:rsidRPr="00496FD7">
        <w:rPr>
          <w:szCs w:val="24"/>
        </w:rPr>
        <w:t xml:space="preserve">Началникът на отдел „Програмиране” се запознава с оценения ФК, </w:t>
      </w:r>
      <w:r w:rsidRPr="00496FD7">
        <w:rPr>
          <w:szCs w:val="24"/>
          <w:lang w:eastAsia="bg-BG"/>
        </w:rPr>
        <w:t xml:space="preserve">подписания от оценителите </w:t>
      </w:r>
      <w:r w:rsidRPr="00496FD7">
        <w:rPr>
          <w:szCs w:val="24"/>
        </w:rPr>
        <w:t xml:space="preserve">доклад с отразени резултати от оценката на оценителите, попълнени контролни листа и всички документи свързани с процеса на извършване на оценката му за извършване на проверка на процедурата и попълва </w:t>
      </w:r>
      <w:hyperlink r:id="rId48" w:tooltip="Контролен лист за проверка на процедурата на извършена оценка на проектно предложение" w:history="1">
        <w:r w:rsidRPr="00496FD7">
          <w:rPr>
            <w:rStyle w:val="Hyperlink"/>
            <w:i/>
            <w:szCs w:val="24"/>
          </w:rPr>
          <w:t>Приложение № 3.09</w:t>
        </w:r>
      </w:hyperlink>
      <w:r w:rsidRPr="00496FD7">
        <w:rPr>
          <w:rStyle w:val="Hyperlink"/>
          <w:szCs w:val="24"/>
          <w:u w:val="none"/>
        </w:rPr>
        <w:t xml:space="preserve"> </w:t>
      </w:r>
      <w:r w:rsidRPr="00496FD7">
        <w:rPr>
          <w:rStyle w:val="Hyperlink"/>
          <w:color w:val="auto"/>
          <w:szCs w:val="24"/>
          <w:u w:val="none"/>
        </w:rPr>
        <w:t>в ИСУН 2020.</w:t>
      </w:r>
    </w:p>
    <w:p w:rsidR="007E360C" w:rsidRPr="00496FD7" w:rsidRDefault="007E360C" w:rsidP="007E360C">
      <w:pPr>
        <w:pStyle w:val="ListParagraph"/>
        <w:rPr>
          <w:i/>
          <w:szCs w:val="24"/>
          <w:lang w:eastAsia="bg-BG"/>
        </w:rPr>
      </w:pPr>
    </w:p>
    <w:p w:rsidR="007E360C" w:rsidRPr="00496FD7" w:rsidRDefault="007E360C" w:rsidP="007E360C">
      <w:pPr>
        <w:pStyle w:val="ListParagraph"/>
        <w:ind w:left="0"/>
        <w:rPr>
          <w:szCs w:val="24"/>
          <w:lang w:eastAsia="bg-BG"/>
        </w:rPr>
      </w:pPr>
      <w:r w:rsidRPr="00496FD7">
        <w:rPr>
          <w:i/>
          <w:szCs w:val="24"/>
          <w:lang w:eastAsia="bg-BG"/>
        </w:rPr>
        <w:t>Срок за изпълнение:</w:t>
      </w:r>
      <w:r w:rsidRPr="00496FD7">
        <w:rPr>
          <w:szCs w:val="24"/>
          <w:lang w:eastAsia="bg-BG"/>
        </w:rPr>
        <w:t xml:space="preserve"> До 5 работни дни от представянето на документите</w:t>
      </w:r>
    </w:p>
    <w:p w:rsidR="007E360C" w:rsidRPr="00496FD7" w:rsidRDefault="007E360C" w:rsidP="007E360C">
      <w:pPr>
        <w:tabs>
          <w:tab w:val="left" w:pos="1134"/>
        </w:tabs>
        <w:ind w:left="567"/>
        <w:contextualSpacing/>
      </w:pPr>
    </w:p>
    <w:p w:rsidR="007E360C" w:rsidRPr="00496FD7" w:rsidRDefault="007E360C" w:rsidP="00E80472">
      <w:pPr>
        <w:numPr>
          <w:ilvl w:val="0"/>
          <w:numId w:val="19"/>
        </w:numPr>
        <w:tabs>
          <w:tab w:val="left" w:pos="1134"/>
        </w:tabs>
        <w:ind w:left="0" w:firstLine="567"/>
        <w:contextualSpacing/>
      </w:pPr>
      <w:r w:rsidRPr="00496FD7">
        <w:rPr>
          <w:szCs w:val="24"/>
        </w:rPr>
        <w:t>Началника на отдел „Програмиране“ представя</w:t>
      </w:r>
      <w:r w:rsidR="0039478F" w:rsidRPr="00496FD7">
        <w:rPr>
          <w:szCs w:val="24"/>
        </w:rPr>
        <w:t>/насочва</w:t>
      </w:r>
      <w:r w:rsidRPr="00496FD7">
        <w:rPr>
          <w:szCs w:val="24"/>
        </w:rPr>
        <w:t xml:space="preserve"> </w:t>
      </w:r>
      <w:r w:rsidR="0039478F" w:rsidRPr="00496FD7">
        <w:rPr>
          <w:szCs w:val="24"/>
        </w:rPr>
        <w:t xml:space="preserve">в ИСУН </w:t>
      </w:r>
      <w:r w:rsidRPr="00496FD7">
        <w:rPr>
          <w:szCs w:val="24"/>
          <w:lang w:eastAsia="bg-BG"/>
        </w:rPr>
        <w:t>оценения ФК, оценителния доклад (</w:t>
      </w:r>
      <w:hyperlink r:id="rId49" w:tooltip="Доклад за извършена оценка на проектно предложение" w:history="1">
        <w:r w:rsidRPr="00496FD7">
          <w:rPr>
            <w:rStyle w:val="Hyperlink"/>
            <w:i/>
            <w:szCs w:val="24"/>
          </w:rPr>
          <w:t>Приложение № 3.0</w:t>
        </w:r>
      </w:hyperlink>
      <w:r w:rsidR="0076749F">
        <w:rPr>
          <w:rStyle w:val="Hyperlink"/>
          <w:i/>
          <w:szCs w:val="24"/>
        </w:rPr>
        <w:t>5</w:t>
      </w:r>
      <w:r w:rsidRPr="00496FD7">
        <w:rPr>
          <w:szCs w:val="24"/>
          <w:lang w:eastAsia="bg-BG"/>
        </w:rPr>
        <w:t xml:space="preserve">), съдържащ взетото решение за одобрение на оценителния доклад и </w:t>
      </w:r>
      <w:r w:rsidR="006D21E2">
        <w:rPr>
          <w:szCs w:val="24"/>
          <w:lang w:eastAsia="bg-BG"/>
        </w:rPr>
        <w:t xml:space="preserve">решение за </w:t>
      </w:r>
      <w:r w:rsidRPr="00496FD7">
        <w:rPr>
          <w:szCs w:val="24"/>
          <w:lang w:eastAsia="bg-BG"/>
        </w:rPr>
        <w:t>предоставяне на БФП</w:t>
      </w:r>
      <w:r w:rsidR="00CA3AC4">
        <w:rPr>
          <w:szCs w:val="24"/>
          <w:lang w:eastAsia="bg-BG"/>
        </w:rPr>
        <w:t>, решение за</w:t>
      </w:r>
      <w:r w:rsidRPr="00496FD7">
        <w:rPr>
          <w:szCs w:val="24"/>
          <w:lang w:eastAsia="bg-BG"/>
        </w:rPr>
        <w:t xml:space="preserve"> </w:t>
      </w:r>
      <w:r w:rsidR="00CA3AC4">
        <w:rPr>
          <w:szCs w:val="24"/>
          <w:lang w:eastAsia="bg-BG"/>
        </w:rPr>
        <w:t>отказ за предоставяне на БФП</w:t>
      </w:r>
      <w:r w:rsidRPr="00496FD7">
        <w:rPr>
          <w:szCs w:val="24"/>
          <w:lang w:eastAsia="bg-BG"/>
        </w:rPr>
        <w:t xml:space="preserve"> (</w:t>
      </w:r>
      <w:hyperlink r:id="rId50" w:history="1">
        <w:r w:rsidR="0076749F" w:rsidRPr="0076749F">
          <w:rPr>
            <w:rStyle w:val="Hyperlink"/>
            <w:i/>
            <w:szCs w:val="24"/>
          </w:rPr>
          <w:t>Приложение № 3.06</w:t>
        </w:r>
      </w:hyperlink>
      <w:r w:rsidRPr="00496FD7">
        <w:rPr>
          <w:szCs w:val="24"/>
          <w:lang w:eastAsia="bg-BG"/>
        </w:rPr>
        <w:t>) и всички документи свързани с процеса на извършване на оценката му, които не са налични в системата ИСУН 2020 на директора на дирекция КПП. Директора на дирекция КПП извършва втора проверка в попълнения  от началника на отдел „Програмиране“ контролен лист</w:t>
      </w:r>
      <w:r w:rsidRPr="00496FD7">
        <w:rPr>
          <w:rStyle w:val="Hyperlink"/>
          <w:i/>
          <w:szCs w:val="24"/>
        </w:rPr>
        <w:t>,</w:t>
      </w:r>
      <w:r w:rsidRPr="00496FD7">
        <w:rPr>
          <w:b/>
          <w:i/>
          <w:szCs w:val="24"/>
        </w:rPr>
        <w:t xml:space="preserve"> </w:t>
      </w:r>
      <w:r w:rsidRPr="00496FD7">
        <w:rPr>
          <w:szCs w:val="24"/>
        </w:rPr>
        <w:t xml:space="preserve"> след което целия пакет от документи се предава</w:t>
      </w:r>
      <w:r w:rsidR="0039478F" w:rsidRPr="00496FD7">
        <w:rPr>
          <w:szCs w:val="24"/>
        </w:rPr>
        <w:t>/насочва</w:t>
      </w:r>
      <w:r w:rsidRPr="00496FD7">
        <w:rPr>
          <w:szCs w:val="24"/>
        </w:rPr>
        <w:t xml:space="preserve"> </w:t>
      </w:r>
      <w:r w:rsidR="0039478F" w:rsidRPr="00496FD7">
        <w:rPr>
          <w:szCs w:val="24"/>
        </w:rPr>
        <w:t xml:space="preserve">в ИСУН </w:t>
      </w:r>
      <w:r w:rsidRPr="00496FD7">
        <w:rPr>
          <w:szCs w:val="24"/>
        </w:rPr>
        <w:t>и за одобрение от Ръководителя на УО на ПТС.</w:t>
      </w:r>
    </w:p>
    <w:p w:rsidR="007E360C" w:rsidRPr="00496FD7" w:rsidRDefault="007E360C" w:rsidP="007E360C">
      <w:pPr>
        <w:rPr>
          <w:i/>
          <w:szCs w:val="24"/>
          <w:lang w:eastAsia="bg-BG"/>
        </w:rPr>
      </w:pPr>
    </w:p>
    <w:p w:rsidR="007E360C" w:rsidRPr="00496FD7" w:rsidRDefault="007E360C" w:rsidP="007E360C">
      <w:pPr>
        <w:contextualSpacing/>
        <w:rPr>
          <w:szCs w:val="24"/>
          <w:lang w:eastAsia="bg-BG"/>
        </w:rPr>
      </w:pPr>
      <w:r w:rsidRPr="00496FD7">
        <w:rPr>
          <w:i/>
          <w:szCs w:val="24"/>
          <w:lang w:eastAsia="bg-BG"/>
        </w:rPr>
        <w:t>Срок за изпълнение:</w:t>
      </w:r>
      <w:r w:rsidRPr="00496FD7">
        <w:rPr>
          <w:szCs w:val="24"/>
          <w:lang w:eastAsia="bg-BG"/>
        </w:rPr>
        <w:t xml:space="preserve"> До 5 работни дни за всеки съгласуващ и за одобряващия</w:t>
      </w:r>
    </w:p>
    <w:p w:rsidR="007E360C" w:rsidRPr="00496FD7" w:rsidRDefault="007E360C" w:rsidP="007E360C">
      <w:pPr>
        <w:pStyle w:val="Style2"/>
        <w:rPr>
          <w:lang w:val="bg-BG" w:eastAsia="bg-BG"/>
        </w:rPr>
      </w:pPr>
      <w:bookmarkStart w:id="145" w:name="_Ref409510975"/>
      <w:bookmarkStart w:id="146" w:name="_Ref409604515"/>
      <w:bookmarkStart w:id="147" w:name="_Toc479775665"/>
      <w:bookmarkStart w:id="148" w:name="_Toc140150220"/>
      <w:bookmarkStart w:id="149" w:name="_Toc152769899"/>
      <w:bookmarkEnd w:id="144"/>
      <w:r w:rsidRPr="00496FD7">
        <w:rPr>
          <w:lang w:val="bg-BG" w:eastAsia="bg-BG"/>
        </w:rPr>
        <w:t xml:space="preserve">Процедура за оценка на проектни предложения за техническа помощ, включително техническа помощ за подготовка на </w:t>
      </w:r>
      <w:r w:rsidR="00BE6599" w:rsidRPr="00496FD7">
        <w:rPr>
          <w:lang w:val="bg-BG" w:eastAsia="bg-BG"/>
        </w:rPr>
        <w:t>инвестиционни</w:t>
      </w:r>
      <w:r w:rsidR="0039478F" w:rsidRPr="00496FD7">
        <w:rPr>
          <w:lang w:val="bg-BG" w:eastAsia="bg-BG"/>
        </w:rPr>
        <w:t xml:space="preserve"> </w:t>
      </w:r>
      <w:r w:rsidRPr="00496FD7">
        <w:rPr>
          <w:lang w:val="bg-BG" w:eastAsia="bg-BG"/>
        </w:rPr>
        <w:t>проекти</w:t>
      </w:r>
      <w:bookmarkEnd w:id="145"/>
      <w:bookmarkEnd w:id="146"/>
      <w:bookmarkEnd w:id="147"/>
      <w:bookmarkEnd w:id="148"/>
      <w:bookmarkEnd w:id="149"/>
    </w:p>
    <w:p w:rsidR="007E360C" w:rsidRPr="00496FD7" w:rsidRDefault="007E360C" w:rsidP="007E360C">
      <w:pPr>
        <w:ind w:firstLine="992"/>
        <w:contextualSpacing/>
        <w:rPr>
          <w:szCs w:val="24"/>
          <w:lang w:eastAsia="bg-BG"/>
        </w:rPr>
      </w:pPr>
      <w:r w:rsidRPr="00496FD7">
        <w:rPr>
          <w:szCs w:val="24"/>
          <w:lang w:eastAsia="bg-BG"/>
        </w:rPr>
        <w:t>Процесът по оценка на получените проектни предложения стартира след подписване и връчване на Решението за сформиране на оценителна комисия на членовете й и след предоставянето на съответните права за оценка в системата ИСУН 2020.</w:t>
      </w:r>
    </w:p>
    <w:p w:rsidR="007E360C" w:rsidRPr="00496FD7" w:rsidRDefault="007E360C" w:rsidP="00581D34">
      <w:pPr>
        <w:spacing w:before="120" w:after="120"/>
        <w:rPr>
          <w:szCs w:val="24"/>
          <w:lang w:eastAsia="bg-BG"/>
        </w:rPr>
      </w:pPr>
      <w:r w:rsidRPr="00496FD7">
        <w:rPr>
          <w:szCs w:val="24"/>
        </w:rPr>
        <w:lastRenderedPageBreak/>
        <w:t>Председателя на оценителната комисия организира провеждането на първо заседание на оценителната комисия и подписване на декларации за липса на конфл</w:t>
      </w:r>
      <w:r w:rsidR="0039478F" w:rsidRPr="00496FD7">
        <w:rPr>
          <w:szCs w:val="24"/>
        </w:rPr>
        <w:t>икт на интереси и поверителност</w:t>
      </w:r>
      <w:r w:rsidRPr="00496FD7">
        <w:rPr>
          <w:szCs w:val="24"/>
        </w:rPr>
        <w:t>.</w:t>
      </w:r>
      <w:r w:rsidRPr="00496FD7">
        <w:rPr>
          <w:b/>
          <w:szCs w:val="24"/>
          <w:lang w:eastAsia="bg-BG"/>
        </w:rPr>
        <w:t xml:space="preserve"> </w:t>
      </w:r>
    </w:p>
    <w:p w:rsidR="007E360C" w:rsidRPr="00496FD7" w:rsidRDefault="007E360C" w:rsidP="00581D34">
      <w:pPr>
        <w:spacing w:before="120" w:after="120"/>
        <w:rPr>
          <w:szCs w:val="24"/>
          <w:lang w:eastAsia="bg-BG"/>
        </w:rPr>
      </w:pPr>
      <w:r w:rsidRPr="00496FD7">
        <w:rPr>
          <w:szCs w:val="24"/>
        </w:rPr>
        <w:t>Председателя на оценителната комисия на първото заседание на комисията запознава всички членове на оценителната комисия с процедурата на оценка  на проектни предложения за техническа помощ при процедури на директно предоставяне на БФП</w:t>
      </w:r>
      <w:r w:rsidR="00457FB0">
        <w:rPr>
          <w:szCs w:val="24"/>
        </w:rPr>
        <w:t>/</w:t>
      </w:r>
      <w:r w:rsidR="00457FB0" w:rsidRPr="00457FB0">
        <w:rPr>
          <w:szCs w:val="24"/>
        </w:rPr>
        <w:t xml:space="preserve"> </w:t>
      </w:r>
      <w:r w:rsidR="00457FB0">
        <w:rPr>
          <w:szCs w:val="24"/>
        </w:rPr>
        <w:t>процедури на подбор</w:t>
      </w:r>
      <w:r w:rsidR="00457FB0" w:rsidRPr="00496FD7">
        <w:rPr>
          <w:szCs w:val="24"/>
        </w:rPr>
        <w:t xml:space="preserve"> по ПТС</w:t>
      </w:r>
      <w:r w:rsidRPr="00496FD7">
        <w:rPr>
          <w:szCs w:val="24"/>
        </w:rPr>
        <w:t xml:space="preserve"> по ПТС, </w:t>
      </w:r>
      <w:r w:rsidRPr="00496FD7">
        <w:rPr>
          <w:szCs w:val="24"/>
          <w:lang w:eastAsia="bg-BG"/>
        </w:rPr>
        <w:t xml:space="preserve">с </w:t>
      </w:r>
      <w:r w:rsidR="007C4548" w:rsidRPr="00496FD7">
        <w:rPr>
          <w:szCs w:val="24"/>
          <w:lang w:eastAsia="bg-BG"/>
        </w:rPr>
        <w:t>Насоките по процедурата</w:t>
      </w:r>
      <w:r w:rsidRPr="00496FD7">
        <w:rPr>
          <w:szCs w:val="24"/>
          <w:lang w:eastAsia="bg-BG"/>
        </w:rPr>
        <w:t>.</w:t>
      </w:r>
    </w:p>
    <w:p w:rsidR="007E360C" w:rsidRPr="00496FD7" w:rsidRDefault="007E360C" w:rsidP="007E360C">
      <w:pPr>
        <w:spacing w:before="120" w:after="120"/>
        <w:rPr>
          <w:szCs w:val="24"/>
          <w:lang w:eastAsia="bg-BG"/>
        </w:rPr>
      </w:pPr>
      <w:r w:rsidRPr="00496FD7">
        <w:rPr>
          <w:i/>
          <w:szCs w:val="24"/>
          <w:lang w:eastAsia="bg-BG"/>
        </w:rPr>
        <w:t>Срок за изпълнение:</w:t>
      </w:r>
      <w:r w:rsidRPr="00496FD7">
        <w:rPr>
          <w:szCs w:val="24"/>
          <w:lang w:eastAsia="bg-BG"/>
        </w:rPr>
        <w:t xml:space="preserve"> До 3 работни дни от регистриране на решението за сформиране на оценителна комисия</w:t>
      </w:r>
    </w:p>
    <w:p w:rsidR="007E360C" w:rsidRPr="00496FD7" w:rsidRDefault="007E360C" w:rsidP="00581D34">
      <w:pPr>
        <w:spacing w:before="120" w:after="120"/>
        <w:rPr>
          <w:szCs w:val="24"/>
          <w:lang w:eastAsia="bg-BG"/>
        </w:rPr>
      </w:pPr>
      <w:r w:rsidRPr="00496FD7">
        <w:rPr>
          <w:szCs w:val="24"/>
          <w:lang w:eastAsia="bg-BG"/>
        </w:rPr>
        <w:t xml:space="preserve">Служител от УО, определен от Ръководителя на УО на ПТС в </w:t>
      </w:r>
      <w:r w:rsidRPr="00496FD7">
        <w:rPr>
          <w:szCs w:val="24"/>
        </w:rPr>
        <w:t>решението</w:t>
      </w:r>
      <w:r w:rsidR="0039478F" w:rsidRPr="00496FD7">
        <w:rPr>
          <w:szCs w:val="24"/>
          <w:lang w:eastAsia="bg-BG"/>
        </w:rPr>
        <w:t xml:space="preserve"> за сформиране на оценителна комисия </w:t>
      </w:r>
      <w:r w:rsidRPr="00496FD7">
        <w:rPr>
          <w:szCs w:val="24"/>
          <w:lang w:eastAsia="bg-BG"/>
        </w:rPr>
        <w:t xml:space="preserve">извършва проверката за липса на конфликт на интереси на членовете на оценителната комисия, като попълва контролен лист </w:t>
      </w:r>
      <w:hyperlink r:id="rId51" w:tooltip="Критерии  за осигуряване на информация за инвестиционни¦инфраструктурни проекти при извършването на оценка" w:history="1">
        <w:r w:rsidRPr="00496FD7">
          <w:rPr>
            <w:rStyle w:val="Hyperlink"/>
            <w:i/>
            <w:szCs w:val="24"/>
            <w:lang w:eastAsia="bg-BG"/>
          </w:rPr>
          <w:t>Приложение № 3.0</w:t>
        </w:r>
      </w:hyperlink>
      <w:r w:rsidR="0076749F">
        <w:rPr>
          <w:rStyle w:val="Hyperlink"/>
          <w:i/>
          <w:szCs w:val="24"/>
          <w:lang w:eastAsia="bg-BG"/>
        </w:rPr>
        <w:t>3.1</w:t>
      </w:r>
      <w:r w:rsidRPr="00496FD7">
        <w:rPr>
          <w:szCs w:val="24"/>
          <w:lang w:eastAsia="bg-BG"/>
        </w:rPr>
        <w:t xml:space="preserve"> в ИСУН 2020.</w:t>
      </w:r>
    </w:p>
    <w:p w:rsidR="007E360C" w:rsidRPr="00496FD7" w:rsidRDefault="007E360C" w:rsidP="007E360C">
      <w:pPr>
        <w:spacing w:before="120" w:after="120"/>
        <w:rPr>
          <w:szCs w:val="24"/>
          <w:lang w:eastAsia="bg-BG"/>
        </w:rPr>
      </w:pPr>
      <w:r w:rsidRPr="00496FD7">
        <w:rPr>
          <w:i/>
          <w:szCs w:val="24"/>
          <w:lang w:eastAsia="bg-BG"/>
        </w:rPr>
        <w:t>Срок за изпълнение:</w:t>
      </w:r>
      <w:r w:rsidRPr="00496FD7">
        <w:rPr>
          <w:szCs w:val="24"/>
          <w:lang w:eastAsia="bg-BG"/>
        </w:rPr>
        <w:t xml:space="preserve"> До 4 работни дни от регистриране на Решението за сформиране на оценителна комисия</w:t>
      </w:r>
      <w:r w:rsidRPr="00496FD7">
        <w:rPr>
          <w:b/>
          <w:szCs w:val="24"/>
          <w:lang w:eastAsia="bg-BG"/>
        </w:rPr>
        <w:t>.</w:t>
      </w:r>
    </w:p>
    <w:p w:rsidR="007E360C" w:rsidRPr="00496FD7" w:rsidRDefault="007E360C" w:rsidP="00581D34">
      <w:pPr>
        <w:spacing w:before="120" w:after="120"/>
        <w:rPr>
          <w:i/>
          <w:szCs w:val="24"/>
          <w:lang w:eastAsia="bg-BG"/>
        </w:rPr>
      </w:pPr>
      <w:bookmarkStart w:id="150" w:name="_Ref413939036"/>
      <w:r w:rsidRPr="00496FD7">
        <w:rPr>
          <w:szCs w:val="24"/>
          <w:lang w:eastAsia="bg-BG"/>
        </w:rPr>
        <w:t>Оценителната комисия извършва оценка на проектните предложения, включваща оценка на административното съответствие и допустимостта и техническа и финансова оценка.</w:t>
      </w:r>
      <w:bookmarkEnd w:id="150"/>
    </w:p>
    <w:p w:rsidR="007E360C" w:rsidRPr="00496FD7" w:rsidRDefault="007E360C" w:rsidP="007E360C">
      <w:pPr>
        <w:spacing w:before="120" w:after="120"/>
        <w:rPr>
          <w:b/>
          <w:szCs w:val="24"/>
          <w:lang w:eastAsia="bg-BG"/>
        </w:rPr>
      </w:pPr>
      <w:r w:rsidRPr="00496FD7">
        <w:rPr>
          <w:i/>
          <w:szCs w:val="24"/>
          <w:lang w:eastAsia="bg-BG"/>
        </w:rPr>
        <w:t>Срок за изпълнение:</w:t>
      </w:r>
      <w:r w:rsidRPr="00496FD7">
        <w:rPr>
          <w:szCs w:val="24"/>
          <w:lang w:eastAsia="bg-BG"/>
        </w:rPr>
        <w:t xml:space="preserve"> Съгласно срока, посочен в Решението за сформиране на оценителна комисия, но не повече от три месеца от датата на подаването му</w:t>
      </w:r>
      <w:r w:rsidRPr="00496FD7">
        <w:rPr>
          <w:b/>
          <w:szCs w:val="24"/>
          <w:lang w:eastAsia="bg-BG"/>
        </w:rPr>
        <w:t>.</w:t>
      </w:r>
    </w:p>
    <w:p w:rsidR="00A31822" w:rsidRPr="00496FD7" w:rsidRDefault="00A31822" w:rsidP="00A31822">
      <w:pPr>
        <w:tabs>
          <w:tab w:val="left" w:pos="1134"/>
        </w:tabs>
        <w:spacing w:before="120"/>
        <w:rPr>
          <w:szCs w:val="24"/>
          <w:lang w:eastAsia="bg-BG"/>
        </w:rPr>
      </w:pPr>
      <w:r w:rsidRPr="0076749F">
        <w:rPr>
          <w:szCs w:val="24"/>
          <w:lang w:eastAsia="bg-BG"/>
        </w:rPr>
        <w:t xml:space="preserve">Членовете на оценителната комисия извършват проверка за съответствие с насоките по процедурата и правилата за допустимите държавни/ минимални помощи, съгласно </w:t>
      </w:r>
      <w:r w:rsidRPr="0076749F">
        <w:rPr>
          <w:b/>
          <w:szCs w:val="24"/>
          <w:lang w:eastAsia="bg-BG"/>
        </w:rPr>
        <w:t>глава 2 „Държавни помощи“.</w:t>
      </w:r>
      <w:r w:rsidRPr="0076749F">
        <w:rPr>
          <w:szCs w:val="24"/>
          <w:lang w:eastAsia="bg-BG"/>
        </w:rPr>
        <w:t xml:space="preserve"> Резултатите от проверката се записват в Контролен лист – </w:t>
      </w:r>
      <w:hyperlink r:id="rId52" w:tooltip="Контролен лист за предварителна оценка за  определяне наличието на държавна помощ - Тест за държавна помощ - изключения" w:history="1">
        <w:r w:rsidR="009378CA" w:rsidRPr="009378CA">
          <w:rPr>
            <w:rStyle w:val="Hyperlink"/>
            <w:i/>
            <w:szCs w:val="24"/>
            <w:lang w:eastAsia="bg-BG"/>
          </w:rPr>
          <w:t>Приложение № 3</w:t>
        </w:r>
        <w:r w:rsidRPr="009378CA">
          <w:rPr>
            <w:rStyle w:val="Hyperlink"/>
            <w:i/>
            <w:szCs w:val="24"/>
            <w:lang w:eastAsia="bg-BG"/>
          </w:rPr>
          <w:t>.0</w:t>
        </w:r>
        <w:r w:rsidR="009378CA" w:rsidRPr="009378CA">
          <w:rPr>
            <w:rStyle w:val="Hyperlink"/>
            <w:i/>
            <w:szCs w:val="24"/>
            <w:lang w:eastAsia="bg-BG"/>
          </w:rPr>
          <w:t>3.2</w:t>
        </w:r>
      </w:hyperlink>
      <w:r w:rsidRPr="0076749F">
        <w:rPr>
          <w:rStyle w:val="Hyperlink"/>
          <w:i/>
          <w:szCs w:val="24"/>
          <w:lang w:eastAsia="bg-BG"/>
        </w:rPr>
        <w:t xml:space="preserve"> (когато съгласно насоките финансираните мерки/дейностите попадат в изключенията за ДП</w:t>
      </w:r>
      <w:r w:rsidRPr="0076749F">
        <w:rPr>
          <w:b/>
          <w:i/>
          <w:szCs w:val="24"/>
          <w:lang w:eastAsia="bg-BG"/>
        </w:rPr>
        <w:t xml:space="preserve">, </w:t>
      </w:r>
      <w:hyperlink r:id="rId53" w:tooltip="Контролен лист за предварителна оценка за определяне на приложим към мярката режим  на съвместима държавна помощ" w:history="1">
        <w:r w:rsidRPr="009378CA">
          <w:rPr>
            <w:rStyle w:val="Hyperlink"/>
            <w:i/>
            <w:szCs w:val="24"/>
            <w:lang w:eastAsia="bg-BG"/>
          </w:rPr>
          <w:t xml:space="preserve">Приложение № </w:t>
        </w:r>
        <w:r w:rsidR="009378CA" w:rsidRPr="009378CA">
          <w:rPr>
            <w:rStyle w:val="Hyperlink"/>
            <w:i/>
            <w:szCs w:val="24"/>
            <w:lang w:eastAsia="bg-BG"/>
          </w:rPr>
          <w:t>3</w:t>
        </w:r>
        <w:r w:rsidRPr="009378CA">
          <w:rPr>
            <w:rStyle w:val="Hyperlink"/>
            <w:i/>
            <w:szCs w:val="24"/>
            <w:lang w:eastAsia="bg-BG"/>
          </w:rPr>
          <w:t>.03</w:t>
        </w:r>
        <w:r w:rsidR="009378CA" w:rsidRPr="009378CA">
          <w:rPr>
            <w:rStyle w:val="Hyperlink"/>
            <w:i/>
            <w:szCs w:val="24"/>
            <w:lang w:eastAsia="bg-BG"/>
          </w:rPr>
          <w:t>.3</w:t>
        </w:r>
      </w:hyperlink>
      <w:r w:rsidRPr="0076749F">
        <w:rPr>
          <w:rStyle w:val="Hyperlink"/>
          <w:i/>
          <w:szCs w:val="24"/>
          <w:lang w:eastAsia="bg-BG"/>
        </w:rPr>
        <w:t xml:space="preserve"> (когато съгласно насоките по процедурата финансираните мерки/дейности е съвместима ДП</w:t>
      </w:r>
      <w:r w:rsidRPr="0076749F">
        <w:rPr>
          <w:b/>
          <w:i/>
          <w:szCs w:val="24"/>
          <w:lang w:eastAsia="bg-BG"/>
        </w:rPr>
        <w:t xml:space="preserve">) </w:t>
      </w:r>
      <w:r w:rsidRPr="0076749F">
        <w:rPr>
          <w:szCs w:val="24"/>
          <w:lang w:eastAsia="bg-BG"/>
        </w:rPr>
        <w:t>в ИСУН 2020</w:t>
      </w:r>
      <w:r w:rsidRPr="0076749F">
        <w:rPr>
          <w:i/>
          <w:szCs w:val="24"/>
          <w:lang w:eastAsia="bg-BG"/>
        </w:rPr>
        <w:t>.</w:t>
      </w:r>
      <w:r w:rsidRPr="0076749F">
        <w:rPr>
          <w:szCs w:val="24"/>
          <w:lang w:eastAsia="bg-BG"/>
        </w:rPr>
        <w:t xml:space="preserve"> Председателят на оценителната комисия извършва втора проверка на попълнения контролен лист в системата.</w:t>
      </w:r>
    </w:p>
    <w:p w:rsidR="007E360C" w:rsidRPr="00496FD7" w:rsidRDefault="007E360C" w:rsidP="00581D34">
      <w:pPr>
        <w:spacing w:before="120" w:after="120"/>
        <w:rPr>
          <w:szCs w:val="24"/>
          <w:lang w:eastAsia="bg-BG"/>
        </w:rPr>
      </w:pPr>
      <w:r w:rsidRPr="00496FD7">
        <w:rPr>
          <w:szCs w:val="24"/>
          <w:lang w:eastAsia="bg-BG"/>
        </w:rPr>
        <w:t>В случаи на установени в процеса на оценка непълноти и/или нередовности на проектното предложение, то може да бъде връщано мотивирано на конкретния бенефициент</w:t>
      </w:r>
      <w:r w:rsidR="00581D34" w:rsidRPr="00496FD7">
        <w:rPr>
          <w:szCs w:val="24"/>
          <w:lang w:eastAsia="bg-BG"/>
        </w:rPr>
        <w:t xml:space="preserve"> чрез ИСУН 2020</w:t>
      </w:r>
      <w:r w:rsidRPr="00496FD7">
        <w:rPr>
          <w:szCs w:val="24"/>
          <w:lang w:eastAsia="bg-BG"/>
        </w:rPr>
        <w:t>.</w:t>
      </w:r>
    </w:p>
    <w:p w:rsidR="007E360C" w:rsidRPr="00496FD7" w:rsidRDefault="007E360C" w:rsidP="00581D34">
      <w:pPr>
        <w:spacing w:before="120" w:after="120"/>
        <w:rPr>
          <w:szCs w:val="24"/>
        </w:rPr>
      </w:pPr>
      <w:r w:rsidRPr="00496FD7">
        <w:rPr>
          <w:szCs w:val="24"/>
        </w:rPr>
        <w:t>Всеки оценител с право на глас отразява в ИСУН 2020 резултатите от извършената оценка в</w:t>
      </w:r>
      <w:r w:rsidR="00581D34" w:rsidRPr="00496FD7">
        <w:rPr>
          <w:szCs w:val="24"/>
        </w:rPr>
        <w:t xml:space="preserve"> приложимата оценителна таблица</w:t>
      </w:r>
      <w:r w:rsidRPr="00496FD7">
        <w:rPr>
          <w:szCs w:val="24"/>
        </w:rPr>
        <w:t xml:space="preserve">, съдържаща мотивирано заключение, направено по време на цялостната оценка по отношение на критериите за оценка на проекта и в съответствие с </w:t>
      </w:r>
      <w:r w:rsidRPr="00496FD7">
        <w:rPr>
          <w:szCs w:val="24"/>
          <w:lang w:eastAsia="bg-BG"/>
        </w:rPr>
        <w:t>критериите</w:t>
      </w:r>
      <w:r w:rsidRPr="00496FD7">
        <w:rPr>
          <w:szCs w:val="24"/>
        </w:rPr>
        <w:t xml:space="preserve"> за оценка на проекти, съгласно </w:t>
      </w:r>
      <w:r w:rsidR="007C4548" w:rsidRPr="00496FD7">
        <w:rPr>
          <w:szCs w:val="24"/>
        </w:rPr>
        <w:t>Насоките по процедурата</w:t>
      </w:r>
      <w:r w:rsidRPr="00496FD7">
        <w:rPr>
          <w:szCs w:val="24"/>
        </w:rPr>
        <w:t>.</w:t>
      </w:r>
    </w:p>
    <w:p w:rsidR="007E360C" w:rsidRPr="00496FD7" w:rsidRDefault="007E360C" w:rsidP="00581D34">
      <w:pPr>
        <w:spacing w:before="120" w:after="120"/>
        <w:rPr>
          <w:szCs w:val="24"/>
          <w:lang w:eastAsia="bg-BG"/>
        </w:rPr>
      </w:pPr>
      <w:r w:rsidRPr="00496FD7">
        <w:rPr>
          <w:szCs w:val="24"/>
          <w:lang w:eastAsia="bg-BG"/>
        </w:rPr>
        <w:t xml:space="preserve">Член на оценителната комисия, определен от председателя й извършва проверка </w:t>
      </w:r>
      <w:r w:rsidR="00581D34" w:rsidRPr="00496FD7">
        <w:rPr>
          <w:szCs w:val="24"/>
          <w:lang w:eastAsia="bg-BG"/>
        </w:rPr>
        <w:t xml:space="preserve">за липса на двойно финансиране </w:t>
      </w:r>
      <w:r w:rsidRPr="00496FD7">
        <w:rPr>
          <w:szCs w:val="24"/>
          <w:lang w:eastAsia="bg-BG"/>
        </w:rPr>
        <w:t xml:space="preserve">и резултатите от проверката се записват в Контролен лист </w:t>
      </w:r>
      <w:r w:rsidRPr="00496FD7">
        <w:rPr>
          <w:b/>
          <w:i/>
          <w:szCs w:val="24"/>
          <w:lang w:eastAsia="bg-BG"/>
        </w:rPr>
        <w:t>(</w:t>
      </w:r>
      <w:hyperlink r:id="rId54" w:history="1">
        <w:r w:rsidRPr="009378CA">
          <w:rPr>
            <w:rStyle w:val="Hyperlink"/>
            <w:i/>
            <w:szCs w:val="24"/>
            <w:lang w:eastAsia="bg-BG"/>
          </w:rPr>
          <w:t>Приложение № 3.0</w:t>
        </w:r>
        <w:r w:rsidR="009378CA" w:rsidRPr="009378CA">
          <w:rPr>
            <w:rStyle w:val="Hyperlink"/>
            <w:i/>
            <w:szCs w:val="24"/>
            <w:lang w:eastAsia="bg-BG"/>
          </w:rPr>
          <w:t>3.</w:t>
        </w:r>
        <w:r w:rsidR="009378CA" w:rsidRPr="009378CA">
          <w:rPr>
            <w:rStyle w:val="Hyperlink"/>
            <w:b/>
            <w:i/>
            <w:szCs w:val="24"/>
            <w:lang w:eastAsia="bg-BG"/>
          </w:rPr>
          <w:t>4</w:t>
        </w:r>
      </w:hyperlink>
      <w:r w:rsidRPr="00496FD7">
        <w:rPr>
          <w:b/>
          <w:i/>
          <w:szCs w:val="24"/>
          <w:lang w:eastAsia="bg-BG"/>
        </w:rPr>
        <w:t xml:space="preserve">) </w:t>
      </w:r>
      <w:r w:rsidRPr="00496FD7">
        <w:rPr>
          <w:szCs w:val="24"/>
          <w:lang w:eastAsia="bg-BG"/>
        </w:rPr>
        <w:t>в ИСУН 2020. Председателят на оценителната комисия извършва втора проверка на попълнения контролен лист в системата.</w:t>
      </w:r>
    </w:p>
    <w:p w:rsidR="007E360C" w:rsidRPr="00496FD7" w:rsidRDefault="007E360C" w:rsidP="00581D34">
      <w:pPr>
        <w:spacing w:before="120" w:after="120"/>
        <w:rPr>
          <w:szCs w:val="24"/>
          <w:lang w:eastAsia="bg-BG"/>
        </w:rPr>
      </w:pPr>
      <w:r w:rsidRPr="00496FD7">
        <w:rPr>
          <w:szCs w:val="24"/>
          <w:lang w:eastAsia="bg-BG"/>
        </w:rPr>
        <w:t xml:space="preserve">Оценителната комисия изготвя доклад </w:t>
      </w:r>
      <w:r w:rsidRPr="00496FD7">
        <w:rPr>
          <w:b/>
          <w:i/>
          <w:szCs w:val="24"/>
          <w:lang w:eastAsia="bg-BG"/>
        </w:rPr>
        <w:t>(</w:t>
      </w:r>
      <w:hyperlink r:id="rId55" w:tooltip="Доклад за извършена оценка на проектно предложение" w:history="1">
        <w:r w:rsidRPr="00496FD7">
          <w:rPr>
            <w:rStyle w:val="Hyperlink"/>
            <w:i/>
            <w:szCs w:val="24"/>
            <w:lang w:eastAsia="bg-BG"/>
          </w:rPr>
          <w:t>Приложение № 3.0</w:t>
        </w:r>
      </w:hyperlink>
      <w:r w:rsidR="009378CA">
        <w:rPr>
          <w:rStyle w:val="Hyperlink"/>
          <w:i/>
          <w:szCs w:val="24"/>
          <w:lang w:eastAsia="bg-BG"/>
        </w:rPr>
        <w:t>5</w:t>
      </w:r>
      <w:r w:rsidRPr="00496FD7">
        <w:rPr>
          <w:b/>
          <w:i/>
          <w:szCs w:val="24"/>
          <w:lang w:eastAsia="bg-BG"/>
        </w:rPr>
        <w:t>)</w:t>
      </w:r>
      <w:r w:rsidRPr="00496FD7">
        <w:rPr>
          <w:szCs w:val="24"/>
          <w:lang w:eastAsia="bg-BG"/>
        </w:rPr>
        <w:t>.</w:t>
      </w:r>
    </w:p>
    <w:p w:rsidR="007E360C" w:rsidRPr="00496FD7" w:rsidRDefault="007E360C" w:rsidP="007E360C">
      <w:pPr>
        <w:contextualSpacing/>
        <w:rPr>
          <w:szCs w:val="24"/>
          <w:lang w:eastAsia="bg-BG"/>
        </w:rPr>
      </w:pPr>
      <w:r w:rsidRPr="00496FD7">
        <w:rPr>
          <w:i/>
          <w:szCs w:val="24"/>
          <w:lang w:eastAsia="bg-BG"/>
        </w:rPr>
        <w:lastRenderedPageBreak/>
        <w:t>Срок за изпълнение:</w:t>
      </w:r>
      <w:r w:rsidRPr="00496FD7">
        <w:rPr>
          <w:szCs w:val="24"/>
          <w:lang w:eastAsia="bg-BG"/>
        </w:rPr>
        <w:t xml:space="preserve"> в съответствие със срока, посочен в решението за сформиране на оценителна комисия, но не повече от три месеца от датата на подаването им</w:t>
      </w:r>
      <w:r w:rsidRPr="00496FD7" w:rsidDel="00802DBF">
        <w:rPr>
          <w:szCs w:val="24"/>
          <w:lang w:eastAsia="bg-BG"/>
        </w:rPr>
        <w:t xml:space="preserve"> </w:t>
      </w:r>
      <w:r w:rsidRPr="00496FD7">
        <w:rPr>
          <w:szCs w:val="24"/>
          <w:lang w:eastAsia="bg-BG"/>
        </w:rPr>
        <w:t>.</w:t>
      </w:r>
    </w:p>
    <w:p w:rsidR="007E360C" w:rsidRPr="00496FD7" w:rsidRDefault="007E360C" w:rsidP="00581D34">
      <w:pPr>
        <w:tabs>
          <w:tab w:val="left" w:pos="851"/>
        </w:tabs>
        <w:spacing w:before="120" w:after="120"/>
        <w:rPr>
          <w:szCs w:val="24"/>
        </w:rPr>
      </w:pPr>
      <w:r w:rsidRPr="00496FD7">
        <w:rPr>
          <w:szCs w:val="24"/>
        </w:rPr>
        <w:t xml:space="preserve">Началникът на отдел „Програмиране” се запознава с оценения ФК, оценителния доклад с отразени резултатите от оценителните таблици на оценителите, контролни листа и всички документи, свързани с процеса на извършване на оценката му за извършване на проверка на процедурата и попълва </w:t>
      </w:r>
      <w:hyperlink r:id="rId56" w:tooltip="Контролен лист за проверка на процедурата на извършена оценка на проектно предложение" w:history="1">
        <w:r w:rsidRPr="00496FD7">
          <w:rPr>
            <w:rStyle w:val="Hyperlink"/>
            <w:i/>
            <w:szCs w:val="24"/>
          </w:rPr>
          <w:t>Приложение № 3.0</w:t>
        </w:r>
      </w:hyperlink>
      <w:r w:rsidR="009378CA">
        <w:rPr>
          <w:rStyle w:val="Hyperlink"/>
          <w:i/>
          <w:szCs w:val="24"/>
        </w:rPr>
        <w:t>3.5</w:t>
      </w:r>
      <w:r w:rsidRPr="00496FD7">
        <w:rPr>
          <w:rStyle w:val="Hyperlink"/>
          <w:szCs w:val="24"/>
          <w:u w:val="none"/>
        </w:rPr>
        <w:t xml:space="preserve"> </w:t>
      </w:r>
      <w:r w:rsidRPr="00496FD7">
        <w:rPr>
          <w:rStyle w:val="Hyperlink"/>
          <w:color w:val="auto"/>
          <w:szCs w:val="24"/>
          <w:u w:val="none"/>
        </w:rPr>
        <w:t>в ИСУН 2020.</w:t>
      </w:r>
    </w:p>
    <w:p w:rsidR="007E360C" w:rsidRPr="00496FD7" w:rsidRDefault="007E360C" w:rsidP="007E360C">
      <w:pPr>
        <w:pStyle w:val="ListParagraph"/>
        <w:ind w:left="0"/>
        <w:rPr>
          <w:szCs w:val="24"/>
          <w:lang w:eastAsia="bg-BG"/>
        </w:rPr>
      </w:pPr>
      <w:r w:rsidRPr="00496FD7">
        <w:rPr>
          <w:i/>
          <w:szCs w:val="24"/>
          <w:lang w:eastAsia="bg-BG"/>
        </w:rPr>
        <w:t>Срок за изпълнение:</w:t>
      </w:r>
      <w:r w:rsidRPr="00496FD7">
        <w:rPr>
          <w:szCs w:val="24"/>
          <w:lang w:eastAsia="bg-BG"/>
        </w:rPr>
        <w:t xml:space="preserve"> До 5 работни дни от представянето на документите</w:t>
      </w:r>
    </w:p>
    <w:p w:rsidR="007E360C" w:rsidRPr="00496FD7" w:rsidRDefault="00581D34" w:rsidP="00581D34">
      <w:pPr>
        <w:tabs>
          <w:tab w:val="left" w:pos="851"/>
        </w:tabs>
        <w:spacing w:before="120" w:after="120"/>
        <w:ind w:firstLine="0"/>
        <w:rPr>
          <w:i/>
          <w:szCs w:val="24"/>
        </w:rPr>
      </w:pPr>
      <w:r w:rsidRPr="00496FD7">
        <w:rPr>
          <w:szCs w:val="24"/>
        </w:rPr>
        <w:tab/>
      </w:r>
      <w:r w:rsidR="007E360C" w:rsidRPr="00496FD7">
        <w:rPr>
          <w:szCs w:val="24"/>
        </w:rPr>
        <w:t xml:space="preserve">Началника на отдел „Програмиране“ представя оценения ФК, оценителния доклад </w:t>
      </w:r>
      <w:r w:rsidR="007E360C" w:rsidRPr="00496FD7">
        <w:rPr>
          <w:rStyle w:val="Hyperlink"/>
          <w:i/>
        </w:rPr>
        <w:t>(</w:t>
      </w:r>
      <w:hyperlink r:id="rId57" w:history="1">
        <w:r w:rsidR="007E360C" w:rsidRPr="009378CA">
          <w:rPr>
            <w:rStyle w:val="Hyperlink"/>
            <w:i/>
          </w:rPr>
          <w:t>Приложение № 3.0</w:t>
        </w:r>
        <w:r w:rsidR="009378CA" w:rsidRPr="009378CA">
          <w:rPr>
            <w:rStyle w:val="Hyperlink"/>
            <w:i/>
          </w:rPr>
          <w:t>5</w:t>
        </w:r>
      </w:hyperlink>
      <w:r w:rsidR="007E360C" w:rsidRPr="00496FD7">
        <w:rPr>
          <w:szCs w:val="24"/>
        </w:rPr>
        <w:t>), съдържащ взетото решение за од</w:t>
      </w:r>
      <w:r w:rsidR="00D034E1">
        <w:rPr>
          <w:szCs w:val="24"/>
        </w:rPr>
        <w:t xml:space="preserve">обрение на оценителния доклад, решение за </w:t>
      </w:r>
      <w:r w:rsidR="007E360C" w:rsidRPr="00496FD7">
        <w:rPr>
          <w:szCs w:val="24"/>
        </w:rPr>
        <w:t>предоставяне на БФП/</w:t>
      </w:r>
      <w:r w:rsidR="00D034E1">
        <w:rPr>
          <w:szCs w:val="24"/>
        </w:rPr>
        <w:t>, решение за отказ за предоставяне на БФП (когато е приложимо)</w:t>
      </w:r>
      <w:r w:rsidR="007E360C" w:rsidRPr="00496FD7">
        <w:rPr>
          <w:szCs w:val="24"/>
        </w:rPr>
        <w:t xml:space="preserve"> </w:t>
      </w:r>
      <w:r w:rsidR="007E360C" w:rsidRPr="00496FD7">
        <w:rPr>
          <w:rStyle w:val="Hyperlink"/>
          <w:i/>
        </w:rPr>
        <w:t>(Приложение № 3.</w:t>
      </w:r>
      <w:r w:rsidR="009378CA">
        <w:rPr>
          <w:rStyle w:val="Hyperlink"/>
          <w:i/>
        </w:rPr>
        <w:t>06</w:t>
      </w:r>
      <w:r w:rsidR="007E360C" w:rsidRPr="00496FD7">
        <w:rPr>
          <w:rStyle w:val="Hyperlink"/>
          <w:i/>
        </w:rPr>
        <w:t>)</w:t>
      </w:r>
      <w:r w:rsidR="007E360C" w:rsidRPr="00496FD7">
        <w:rPr>
          <w:szCs w:val="24"/>
        </w:rPr>
        <w:t xml:space="preserve"> и всички документи свързани с процеса на извършване на оценката му, които не са налични в системата ИСУН 2020 на директора на дирекция КПП. Директора на дирекция КПП извършва втора проверка в попълнения  от началника на отдел „Програмиране“ контролен лист,  след което целия пакет от документи се предава</w:t>
      </w:r>
      <w:r w:rsidRPr="00496FD7">
        <w:rPr>
          <w:szCs w:val="24"/>
        </w:rPr>
        <w:t>/насочва в ИСУН 2020</w:t>
      </w:r>
      <w:r w:rsidR="007E360C" w:rsidRPr="00496FD7">
        <w:rPr>
          <w:szCs w:val="24"/>
        </w:rPr>
        <w:t xml:space="preserve"> за одобрение от Ръководителя на УО на ПТС </w:t>
      </w:r>
      <w:r w:rsidR="007E360C" w:rsidRPr="00496FD7">
        <w:rPr>
          <w:i/>
          <w:szCs w:val="24"/>
        </w:rPr>
        <w:t>(</w:t>
      </w:r>
      <w:r w:rsidRPr="00496FD7">
        <w:rPr>
          <w:i/>
          <w:szCs w:val="24"/>
        </w:rPr>
        <w:t xml:space="preserve">само </w:t>
      </w:r>
      <w:r w:rsidR="007E360C" w:rsidRPr="00496FD7">
        <w:rPr>
          <w:i/>
          <w:szCs w:val="24"/>
        </w:rPr>
        <w:t>когато директора на дирекция КПП не е Ръководител на УО).</w:t>
      </w:r>
    </w:p>
    <w:p w:rsidR="007E360C" w:rsidRPr="00496FD7" w:rsidRDefault="007E360C" w:rsidP="007E360C">
      <w:pPr>
        <w:pStyle w:val="ListParagraph"/>
        <w:tabs>
          <w:tab w:val="left" w:pos="851"/>
        </w:tabs>
        <w:spacing w:before="120" w:after="120"/>
        <w:ind w:left="786" w:firstLine="0"/>
        <w:rPr>
          <w:szCs w:val="24"/>
        </w:rPr>
      </w:pPr>
      <w:r w:rsidRPr="00496FD7">
        <w:rPr>
          <w:i/>
          <w:szCs w:val="24"/>
        </w:rPr>
        <w:t>Срок за изпълнение:</w:t>
      </w:r>
      <w:r w:rsidRPr="00496FD7">
        <w:rPr>
          <w:szCs w:val="24"/>
        </w:rPr>
        <w:t xml:space="preserve"> До 5 работни дни за всеки съгласуващ и за одобряващия</w:t>
      </w:r>
    </w:p>
    <w:p w:rsidR="007E360C" w:rsidRPr="00496FD7" w:rsidRDefault="007E360C" w:rsidP="007E360C">
      <w:pPr>
        <w:tabs>
          <w:tab w:val="left" w:pos="851"/>
        </w:tabs>
        <w:spacing w:before="120" w:after="120"/>
        <w:ind w:left="414" w:firstLine="0"/>
        <w:rPr>
          <w:szCs w:val="24"/>
        </w:rPr>
      </w:pPr>
    </w:p>
    <w:p w:rsidR="007E360C" w:rsidRPr="00496FD7" w:rsidRDefault="007E360C" w:rsidP="007E360C">
      <w:pPr>
        <w:pStyle w:val="Style2"/>
        <w:rPr>
          <w:lang w:val="bg-BG" w:eastAsia="bg-BG"/>
        </w:rPr>
      </w:pPr>
      <w:bookmarkStart w:id="151" w:name="_Toc431992204"/>
      <w:bookmarkStart w:id="152" w:name="_Toc432165936"/>
      <w:bookmarkStart w:id="153" w:name="_Toc431992205"/>
      <w:bookmarkStart w:id="154" w:name="_Toc432165937"/>
      <w:bookmarkStart w:id="155" w:name="_Toc431992206"/>
      <w:bookmarkStart w:id="156" w:name="_Toc432165938"/>
      <w:bookmarkStart w:id="157" w:name="_Toc431992207"/>
      <w:bookmarkStart w:id="158" w:name="_Toc432165939"/>
      <w:bookmarkStart w:id="159" w:name="_Toc431992208"/>
      <w:bookmarkStart w:id="160" w:name="_Toc432165940"/>
      <w:bookmarkStart w:id="161" w:name="_Ref409511071"/>
      <w:bookmarkStart w:id="162" w:name="_Toc479775666"/>
      <w:bookmarkStart w:id="163" w:name="_Toc140150221"/>
      <w:bookmarkStart w:id="164" w:name="_Toc152769900"/>
      <w:bookmarkStart w:id="165" w:name="_Ref406323455"/>
      <w:bookmarkEnd w:id="123"/>
      <w:bookmarkEnd w:id="151"/>
      <w:bookmarkEnd w:id="152"/>
      <w:bookmarkEnd w:id="153"/>
      <w:bookmarkEnd w:id="154"/>
      <w:bookmarkEnd w:id="155"/>
      <w:bookmarkEnd w:id="156"/>
      <w:bookmarkEnd w:id="157"/>
      <w:bookmarkEnd w:id="158"/>
      <w:bookmarkEnd w:id="159"/>
      <w:bookmarkEnd w:id="160"/>
      <w:r w:rsidRPr="00496FD7">
        <w:rPr>
          <w:lang w:val="bg-BG" w:eastAsia="bg-BG"/>
        </w:rPr>
        <w:t>Процедура за оценка на бюджетна линия</w:t>
      </w:r>
      <w:bookmarkEnd w:id="161"/>
      <w:bookmarkEnd w:id="162"/>
      <w:bookmarkEnd w:id="163"/>
      <w:bookmarkEnd w:id="164"/>
    </w:p>
    <w:p w:rsidR="007E360C" w:rsidRPr="00496FD7" w:rsidRDefault="007E360C" w:rsidP="007E360C">
      <w:pPr>
        <w:pStyle w:val="Style3"/>
        <w:rPr>
          <w:lang w:val="bg-BG"/>
        </w:rPr>
      </w:pPr>
      <w:bookmarkStart w:id="166" w:name="_Toc479775667"/>
      <w:r w:rsidRPr="00496FD7">
        <w:rPr>
          <w:lang w:val="bg-BG"/>
        </w:rPr>
        <w:t>Предпоставки за финансиране на дейности чрез бюджетна линия</w:t>
      </w:r>
      <w:bookmarkEnd w:id="166"/>
    </w:p>
    <w:p w:rsidR="007E360C" w:rsidRPr="00496FD7" w:rsidRDefault="007E360C" w:rsidP="007E360C">
      <w:r w:rsidRPr="00496FD7">
        <w:t xml:space="preserve">Съгласно чл. 43, ал. </w:t>
      </w:r>
      <w:r w:rsidR="0090022A" w:rsidRPr="00496FD7">
        <w:t>4</w:t>
      </w:r>
      <w:r w:rsidRPr="00496FD7">
        <w:t xml:space="preserve"> от </w:t>
      </w:r>
      <w:r w:rsidR="00436CBC" w:rsidRPr="00496FD7">
        <w:t>ЗУСЕФСУ</w:t>
      </w:r>
      <w:r w:rsidRPr="00496FD7">
        <w:t xml:space="preserve"> </w:t>
      </w:r>
      <w:r w:rsidR="0090022A" w:rsidRPr="00496FD7">
        <w:t>„безвъзмездна финансова помощ може да се предоставя чрез бюджетна линия на конкретен бенефициент от администрация на изпълнителната власт за финансиране на осъществявани от него дейности по управление на средствата от ЕФСУ в рамките на определените в съответната програма средства за техническа помощ“.</w:t>
      </w:r>
      <w:r w:rsidRPr="00496FD7">
        <w:t xml:space="preserve"> </w:t>
      </w:r>
    </w:p>
    <w:p w:rsidR="007E360C" w:rsidRPr="00496FD7" w:rsidRDefault="007E360C" w:rsidP="007E360C">
      <w:pPr>
        <w:rPr>
          <w:szCs w:val="24"/>
          <w:lang w:eastAsia="bg-BG"/>
        </w:rPr>
      </w:pPr>
      <w:r w:rsidRPr="00496FD7">
        <w:rPr>
          <w:szCs w:val="24"/>
          <w:lang w:eastAsia="bg-BG"/>
        </w:rPr>
        <w:t xml:space="preserve">За осигуряване на финансиране на дейности чрез бюджетна линия УО на ПТС подава за одобрение формуляр за кандидатстване, съгласно образеца в ИСУН и </w:t>
      </w:r>
      <w:r w:rsidR="007C4548" w:rsidRPr="00496FD7">
        <w:rPr>
          <w:szCs w:val="24"/>
          <w:lang w:eastAsia="bg-BG"/>
        </w:rPr>
        <w:t>Насоките по процедурата</w:t>
      </w:r>
      <w:r w:rsidRPr="00496FD7">
        <w:rPr>
          <w:szCs w:val="24"/>
          <w:lang w:eastAsia="bg-BG"/>
        </w:rPr>
        <w:t xml:space="preserve">, включително финансов план, по утвърден образец. Формулярът за кандидатстване се попълва в ИСУН 2020 (попълват се само приложимите за бюджетна линия полета), съгласно указанията в ИСУН 2020 и </w:t>
      </w:r>
      <w:r w:rsidR="007C4548" w:rsidRPr="00496FD7">
        <w:rPr>
          <w:szCs w:val="24"/>
          <w:lang w:eastAsia="bg-BG"/>
        </w:rPr>
        <w:t>Насоките по процедурата</w:t>
      </w:r>
      <w:r w:rsidRPr="00496FD7">
        <w:rPr>
          <w:szCs w:val="24"/>
          <w:lang w:eastAsia="bg-BG"/>
        </w:rPr>
        <w:t>.</w:t>
      </w:r>
    </w:p>
    <w:p w:rsidR="007E360C" w:rsidRPr="00496FD7" w:rsidRDefault="007E360C" w:rsidP="007E360C">
      <w:r w:rsidRPr="00496FD7">
        <w:t>Дейностите, които бенефициентите финансират чрез бюджетна линия, следва да бъдат определени въз основа на Критерии за подбор и оценка на проекти, одобрени от КН на ПТС.</w:t>
      </w:r>
    </w:p>
    <w:p w:rsidR="007E360C" w:rsidRPr="00496FD7" w:rsidRDefault="007E360C" w:rsidP="007E360C">
      <w:r w:rsidRPr="00496FD7">
        <w:t xml:space="preserve">Предоставянето на помощта, чрез бюджетна линия се извършва на следните етапи: </w:t>
      </w:r>
    </w:p>
    <w:p w:rsidR="007E360C" w:rsidRPr="00496FD7" w:rsidRDefault="007E360C" w:rsidP="00E80472">
      <w:pPr>
        <w:pStyle w:val="ListParagraph"/>
        <w:numPr>
          <w:ilvl w:val="0"/>
          <w:numId w:val="54"/>
        </w:numPr>
        <w:ind w:left="0" w:firstLine="1211"/>
        <w:rPr>
          <w:lang w:eastAsia="bg-BG"/>
        </w:rPr>
      </w:pPr>
      <w:r w:rsidRPr="00496FD7">
        <w:rPr>
          <w:lang w:eastAsia="bg-BG"/>
        </w:rPr>
        <w:t xml:space="preserve">представяне на УО на ПТС на финансов план; </w:t>
      </w:r>
    </w:p>
    <w:p w:rsidR="007E360C" w:rsidRPr="00496FD7" w:rsidRDefault="007E360C" w:rsidP="00E80472">
      <w:pPr>
        <w:pStyle w:val="ListParagraph"/>
        <w:numPr>
          <w:ilvl w:val="0"/>
          <w:numId w:val="54"/>
        </w:numPr>
        <w:ind w:left="0" w:firstLine="1211"/>
        <w:rPr>
          <w:lang w:eastAsia="bg-BG"/>
        </w:rPr>
      </w:pPr>
      <w:r w:rsidRPr="00496FD7">
        <w:rPr>
          <w:lang w:eastAsia="bg-BG"/>
        </w:rPr>
        <w:t xml:space="preserve">оценка от УО на ПТС на финансовия план по отношение на критериите за административно съответствие и за допустимост на разходите; </w:t>
      </w:r>
    </w:p>
    <w:p w:rsidR="007E360C" w:rsidRPr="00496FD7" w:rsidRDefault="0090022A" w:rsidP="00E80472">
      <w:pPr>
        <w:pStyle w:val="ListParagraph"/>
        <w:numPr>
          <w:ilvl w:val="0"/>
          <w:numId w:val="54"/>
        </w:numPr>
        <w:ind w:left="0" w:firstLine="1211"/>
        <w:rPr>
          <w:lang w:eastAsia="bg-BG"/>
        </w:rPr>
      </w:pPr>
      <w:r w:rsidRPr="00496FD7">
        <w:rPr>
          <w:lang w:eastAsia="bg-BG"/>
        </w:rPr>
        <w:t xml:space="preserve">одобряване на доклада на оценителната комисия и </w:t>
      </w:r>
      <w:r w:rsidR="007E360C" w:rsidRPr="00496FD7">
        <w:rPr>
          <w:lang w:eastAsia="bg-BG"/>
        </w:rPr>
        <w:t xml:space="preserve">вземане на Решение на Ръководителя на УО на ПТС за одобряване на бюджетна линия; </w:t>
      </w:r>
    </w:p>
    <w:p w:rsidR="007E360C" w:rsidRPr="00496FD7" w:rsidRDefault="007E360C" w:rsidP="00E80472">
      <w:pPr>
        <w:pStyle w:val="ListParagraph"/>
        <w:numPr>
          <w:ilvl w:val="0"/>
          <w:numId w:val="54"/>
        </w:numPr>
        <w:ind w:left="0" w:firstLine="1211"/>
        <w:rPr>
          <w:lang w:eastAsia="bg-BG"/>
        </w:rPr>
      </w:pPr>
      <w:r w:rsidRPr="00496FD7">
        <w:rPr>
          <w:lang w:eastAsia="bg-BG"/>
        </w:rPr>
        <w:t xml:space="preserve">издаване на заповед за предоставяне на БФП. </w:t>
      </w:r>
    </w:p>
    <w:p w:rsidR="0090022A" w:rsidRPr="00496FD7" w:rsidRDefault="007E360C" w:rsidP="007E360C">
      <w:r w:rsidRPr="00496FD7">
        <w:lastRenderedPageBreak/>
        <w:t xml:space="preserve">УО на ПТС, чрез </w:t>
      </w:r>
      <w:r w:rsidR="001157F6" w:rsidRPr="00496FD7">
        <w:t xml:space="preserve">директора на дирекция КПП подават за одобрение финансов план за осигуряване на финансиране чрез бюджетна линия. Началника </w:t>
      </w:r>
      <w:r w:rsidR="0090022A" w:rsidRPr="00496FD7">
        <w:t>на отдел „</w:t>
      </w:r>
      <w:r w:rsidR="001157F6" w:rsidRPr="00496FD7">
        <w:t>Информация, публичност и техническа помощ</w:t>
      </w:r>
      <w:r w:rsidR="0090022A" w:rsidRPr="00496FD7">
        <w:t xml:space="preserve">“ или </w:t>
      </w:r>
      <w:r w:rsidRPr="00496FD7">
        <w:t>ръководителите на звената за управление на бюджетни линии</w:t>
      </w:r>
      <w:r w:rsidR="001157F6" w:rsidRPr="00496FD7">
        <w:t>, подготвят бюджетните линии и</w:t>
      </w:r>
      <w:r w:rsidRPr="00496FD7">
        <w:t xml:space="preserve"> планират разходи, които ще бъдат извършени в периода на допустимост от 01.01.20</w:t>
      </w:r>
      <w:r w:rsidR="0090022A" w:rsidRPr="00496FD7">
        <w:t>21</w:t>
      </w:r>
      <w:r w:rsidRPr="00496FD7">
        <w:t xml:space="preserve"> г. до 31.12.202</w:t>
      </w:r>
      <w:r w:rsidR="0090022A" w:rsidRPr="00496FD7">
        <w:t>9</w:t>
      </w:r>
      <w:r w:rsidRPr="00496FD7">
        <w:t xml:space="preserve"> г. </w:t>
      </w:r>
    </w:p>
    <w:p w:rsidR="007E360C" w:rsidRPr="00496FD7" w:rsidRDefault="007E360C" w:rsidP="007E360C">
      <w:r w:rsidRPr="00496FD7">
        <w:t>ФК и финансовия план, съдържат</w:t>
      </w:r>
      <w:r w:rsidRPr="00496FD7" w:rsidDel="007356FA">
        <w:t xml:space="preserve"> </w:t>
      </w:r>
      <w:r w:rsidRPr="00496FD7">
        <w:t>следните основни компоненти:</w:t>
      </w:r>
    </w:p>
    <w:p w:rsidR="007E360C" w:rsidRPr="00496FD7" w:rsidRDefault="007E360C" w:rsidP="00E80472">
      <w:pPr>
        <w:pStyle w:val="ListParagraph"/>
        <w:numPr>
          <w:ilvl w:val="0"/>
          <w:numId w:val="53"/>
        </w:numPr>
        <w:rPr>
          <w:lang w:eastAsia="bg-BG"/>
        </w:rPr>
      </w:pPr>
      <w:r w:rsidRPr="00496FD7">
        <w:rPr>
          <w:lang w:eastAsia="bg-BG"/>
        </w:rPr>
        <w:t>Бюджет</w:t>
      </w:r>
    </w:p>
    <w:p w:rsidR="007E360C" w:rsidRPr="00496FD7" w:rsidRDefault="007E360C" w:rsidP="00E80472">
      <w:pPr>
        <w:pStyle w:val="ListParagraph"/>
        <w:numPr>
          <w:ilvl w:val="0"/>
          <w:numId w:val="53"/>
        </w:numPr>
        <w:rPr>
          <w:lang w:eastAsia="bg-BG"/>
        </w:rPr>
      </w:pPr>
      <w:r w:rsidRPr="00496FD7">
        <w:rPr>
          <w:lang w:eastAsia="bg-BG"/>
        </w:rPr>
        <w:t>цел/и</w:t>
      </w:r>
    </w:p>
    <w:p w:rsidR="007E360C" w:rsidRPr="00496FD7" w:rsidRDefault="007E360C" w:rsidP="00E80472">
      <w:pPr>
        <w:pStyle w:val="ListParagraph"/>
        <w:numPr>
          <w:ilvl w:val="0"/>
          <w:numId w:val="53"/>
        </w:numPr>
        <w:rPr>
          <w:lang w:eastAsia="bg-BG"/>
        </w:rPr>
      </w:pPr>
      <w:r w:rsidRPr="00496FD7">
        <w:rPr>
          <w:lang w:eastAsia="bg-BG"/>
        </w:rPr>
        <w:t>индикатори за постигнати резултати</w:t>
      </w:r>
    </w:p>
    <w:p w:rsidR="007E360C" w:rsidRPr="00496FD7" w:rsidRDefault="007E360C" w:rsidP="00E80472">
      <w:pPr>
        <w:pStyle w:val="ListParagraph"/>
        <w:numPr>
          <w:ilvl w:val="0"/>
          <w:numId w:val="53"/>
        </w:numPr>
        <w:rPr>
          <w:lang w:eastAsia="bg-BG"/>
        </w:rPr>
      </w:pPr>
      <w:r w:rsidRPr="00496FD7">
        <w:rPr>
          <w:lang w:eastAsia="bg-BG"/>
        </w:rPr>
        <w:t>обособена позиция за разходите за организация и управление (ако е приложимо).</w:t>
      </w:r>
    </w:p>
    <w:p w:rsidR="007E360C" w:rsidRPr="00496FD7" w:rsidRDefault="007E360C" w:rsidP="007E360C">
      <w:r w:rsidRPr="00496FD7">
        <w:t>Бюджетът съдържа разпределение на планираното публично финансиране и на планираните разходи, като разходите, в това число разходи за възнаграждения, обучения, организиране на комитети за наблюдение, разходи за закупуване/придобиване на дълготрайни активи, както и други допустими разходи по програмите, се представят кумулативно по предвидените за изпълнение дейности от УО на ПТС за периода на финансиране.</w:t>
      </w:r>
    </w:p>
    <w:p w:rsidR="007E360C" w:rsidRPr="00496FD7" w:rsidRDefault="007E360C" w:rsidP="007E360C">
      <w:r w:rsidRPr="00496FD7">
        <w:t xml:space="preserve">Определените цели във финансовия план трябва да допринасят за постигане на целите и приоритетите на ПТС и на </w:t>
      </w:r>
      <w:r w:rsidR="00E30976" w:rsidRPr="00496FD7">
        <w:t>приоритет</w:t>
      </w:r>
      <w:r w:rsidR="001157F6" w:rsidRPr="00496FD7">
        <w:t xml:space="preserve"> </w:t>
      </w:r>
      <w:r w:rsidRPr="00496FD7">
        <w:t xml:space="preserve">5 в частност и да бъдат ясно обвързани – логически и времево, с планираните за финансиране дейности, както и с индикаторите за постигнати резултати. </w:t>
      </w:r>
    </w:p>
    <w:p w:rsidR="007E360C" w:rsidRPr="00496FD7" w:rsidRDefault="007E360C" w:rsidP="007E360C">
      <w:r w:rsidRPr="00496FD7">
        <w:t>Във финансовия</w:t>
      </w:r>
      <w:r w:rsidR="001157F6" w:rsidRPr="00496FD7">
        <w:t>т</w:t>
      </w:r>
      <w:r w:rsidRPr="00496FD7">
        <w:t xml:space="preserve"> план </w:t>
      </w:r>
      <w:r w:rsidR="001157F6" w:rsidRPr="00496FD7">
        <w:t>следва да се заложат</w:t>
      </w:r>
      <w:r w:rsidRPr="00496FD7">
        <w:t xml:space="preserve"> конкретни индикатори за постигнати резултати, чрез които да бъде осигурено отчитане на степента на изпълнение на дейностите, финансирани чрез бюджетната линия, както и да опише начина им за измерване. </w:t>
      </w:r>
    </w:p>
    <w:p w:rsidR="007E360C" w:rsidRPr="00496FD7" w:rsidRDefault="007E360C" w:rsidP="007E360C">
      <w:r w:rsidRPr="00496FD7">
        <w:t>УО на ПТС задължително декларира във ФК, че дейностите, финансирани по бюджетната линия, не се финансират/не са финансирани от друг проект/програма/бюджетна линия или друга финансова схема с източник националния бюджет, бюджета на ЕС или друга донорска програма.</w:t>
      </w:r>
    </w:p>
    <w:p w:rsidR="007E360C" w:rsidRPr="00496FD7" w:rsidRDefault="007E360C" w:rsidP="007E360C">
      <w:r w:rsidRPr="00496FD7">
        <w:t xml:space="preserve">Формуляр за кандидатстване за финансиране, чрез бюджетна линия се попълва ИСУН 2020, и се прилага финансов план, изготвен съгласно стандартен образец, приложен към </w:t>
      </w:r>
      <w:r w:rsidR="007C4548" w:rsidRPr="00496FD7">
        <w:t>Насоките по процедурата</w:t>
      </w:r>
      <w:r w:rsidRPr="00496FD7">
        <w:rPr>
          <w:b/>
          <w:i/>
        </w:rPr>
        <w:t>.</w:t>
      </w:r>
      <w:r w:rsidRPr="00496FD7">
        <w:t xml:space="preserve"> Попълнения ФК се предоставя за одобрение от УО на ПТС. При необходимост от допълнителни пояснения или уточнения УО на ПТС може да изиска от конкретното звено-бенефициент по ПТС корекция/ допълнителна информация, преди да разреши финансирането.</w:t>
      </w:r>
    </w:p>
    <w:p w:rsidR="007E360C" w:rsidRPr="00496FD7" w:rsidRDefault="007E360C" w:rsidP="007E360C">
      <w:r w:rsidRPr="00496FD7">
        <w:t>Бюджетът представя разпределеното по години публично финансиране на разходите, допустими за финансиране съгласно приложимото законодателство и правилата на ПТС. Разпределението на разходите по години следва да бъде съобразено със спецификата на изпълняваните дейности. В случаите, когато се предвижда възлагането на дейности по реда на ЗОП, при изготвянето на финансовия план (бюджет) е необходимо да се вземат предвид нормативните срокове за възлагането, включително и за осъществяване на контрол, когато е приложимо.</w:t>
      </w:r>
    </w:p>
    <w:p w:rsidR="007E360C" w:rsidRPr="00496FD7" w:rsidRDefault="007E360C" w:rsidP="007E360C">
      <w:r w:rsidRPr="00496FD7">
        <w:t>В образец „Бюджет” се попълват стойности за финансиране, съответно за разходи по години, които са включени в периода за финансиране.</w:t>
      </w:r>
    </w:p>
    <w:p w:rsidR="007E360C" w:rsidRPr="00496FD7" w:rsidRDefault="007E360C" w:rsidP="007E360C">
      <w:r w:rsidRPr="00496FD7">
        <w:lastRenderedPageBreak/>
        <w:t xml:space="preserve">Бюджетната линия се счита за </w:t>
      </w:r>
      <w:r w:rsidR="001157F6" w:rsidRPr="00496FD7">
        <w:t>одобрена</w:t>
      </w:r>
      <w:r w:rsidRPr="00496FD7">
        <w:t xml:space="preserve"> от датата на заповедта за предоставяне на БФП</w:t>
      </w:r>
      <w:r w:rsidR="001157F6" w:rsidRPr="00496FD7">
        <w:t>, като дейностите може да са започнали и преди това, при спазване на всички останали условия</w:t>
      </w:r>
      <w:r w:rsidRPr="00496FD7">
        <w:t>.</w:t>
      </w:r>
    </w:p>
    <w:p w:rsidR="007E360C" w:rsidRPr="00496FD7" w:rsidRDefault="007E360C" w:rsidP="007E360C">
      <w:r w:rsidRPr="00496FD7">
        <w:t>Бюджетната линия се счита за приключена на крайната дата, посочена в заповедта за предоставяне на БФП, като при изготвяне на бюджета във финансовия план следва да се вземе предвид, че плащанията от бенефициента за направените от него разходи могат да бъдат извършени до крайната ú дата.</w:t>
      </w:r>
    </w:p>
    <w:p w:rsidR="007E360C" w:rsidRPr="00496FD7" w:rsidRDefault="007E360C" w:rsidP="007E360C">
      <w:r w:rsidRPr="00496FD7">
        <w:t>Документите, които се подават за одобрение на финансиране чрез бюджетната линия и с които се отчита изпълнението на финансираните дейности, следва да са в съответствие с принципа за осигуря</w:t>
      </w:r>
      <w:r w:rsidR="001157F6" w:rsidRPr="00496FD7">
        <w:t>ване на комуникация и видимост</w:t>
      </w:r>
      <w:r w:rsidRPr="00496FD7">
        <w:t>.</w:t>
      </w:r>
    </w:p>
    <w:p w:rsidR="007E360C" w:rsidRPr="00496FD7" w:rsidRDefault="007E360C" w:rsidP="007E360C">
      <w:r w:rsidRPr="00496FD7">
        <w:t xml:space="preserve">При подаване на финансовия план се определя и екипа за организация и управление на бюджетната линия, в това число: </w:t>
      </w:r>
    </w:p>
    <w:p w:rsidR="007E360C" w:rsidRPr="00496FD7" w:rsidRDefault="007E360C" w:rsidP="00E80472">
      <w:pPr>
        <w:pStyle w:val="ListParagraph"/>
        <w:numPr>
          <w:ilvl w:val="0"/>
          <w:numId w:val="52"/>
        </w:numPr>
        <w:rPr>
          <w:lang w:eastAsia="bg-BG"/>
        </w:rPr>
      </w:pPr>
      <w:r w:rsidRPr="00496FD7">
        <w:rPr>
          <w:lang w:eastAsia="bg-BG"/>
        </w:rPr>
        <w:t xml:space="preserve">ръководител на бюджетна линия, </w:t>
      </w:r>
    </w:p>
    <w:p w:rsidR="007E360C" w:rsidRPr="00496FD7" w:rsidRDefault="007E360C" w:rsidP="00E80472">
      <w:pPr>
        <w:pStyle w:val="ListParagraph"/>
        <w:numPr>
          <w:ilvl w:val="0"/>
          <w:numId w:val="52"/>
        </w:numPr>
        <w:rPr>
          <w:lang w:eastAsia="bg-BG"/>
        </w:rPr>
      </w:pPr>
      <w:r w:rsidRPr="00496FD7">
        <w:rPr>
          <w:lang w:eastAsia="bg-BG"/>
        </w:rPr>
        <w:t>лице, отговорно за техническото изпълнение на бюджетната линия;</w:t>
      </w:r>
    </w:p>
    <w:p w:rsidR="007E360C" w:rsidRPr="00496FD7" w:rsidRDefault="007E360C" w:rsidP="00E80472">
      <w:pPr>
        <w:pStyle w:val="ListParagraph"/>
        <w:numPr>
          <w:ilvl w:val="0"/>
          <w:numId w:val="52"/>
        </w:numPr>
        <w:rPr>
          <w:lang w:eastAsia="bg-BG"/>
        </w:rPr>
      </w:pPr>
      <w:r w:rsidRPr="00496FD7">
        <w:rPr>
          <w:lang w:eastAsia="bg-BG"/>
        </w:rPr>
        <w:t xml:space="preserve">лице, отговорно за финансовото и счетоводно отчитане на бюджетната линия; </w:t>
      </w:r>
    </w:p>
    <w:p w:rsidR="007E360C" w:rsidRPr="00496FD7" w:rsidRDefault="007E360C" w:rsidP="007E360C">
      <w:r w:rsidRPr="00496FD7">
        <w:t>Възнагражденията на екипа за управление на бюджетната линия, ако са допустими за финансиране, се описват на отделен ред като „Разходи за организация и управление на бюджетната линия”, извън планирания бюджет за изпълнение на дейностите.</w:t>
      </w:r>
    </w:p>
    <w:p w:rsidR="007E360C" w:rsidRPr="00496FD7" w:rsidRDefault="007E360C" w:rsidP="007E360C">
      <w:bookmarkStart w:id="167" w:name="_Ref395616591"/>
      <w:r w:rsidRPr="00496FD7">
        <w:t>Звеното-бенефициент по ПТС оценява ежегодно темпа на изпълнение на дейностите, отчитайки евентуално забавяне при изпълнението им, промяна в продължителността им поради специфика в изпълнението, алокиране на средства от една година в друга или други обстоятелства, водещи до промяна в планираните стойности на разходите и финансирането по години.</w:t>
      </w:r>
      <w:bookmarkEnd w:id="167"/>
    </w:p>
    <w:p w:rsidR="007E360C" w:rsidRPr="00496FD7" w:rsidRDefault="007E360C" w:rsidP="007E360C">
      <w:r w:rsidRPr="00496FD7">
        <w:t>Звеното-бенефициент по ПТС информира УО на ПТС за извършената оценка на темпа на изпълнение на дейностите, в срок до 15.02. на година (n+1), следваща годината на одобрение на бюджетната линия (n), като представя актуализиран образец „Бюджет по години” за календарни години (n+1) и (n+2) и отчетни стойности за година (n) на база изплатените разходи.</w:t>
      </w:r>
    </w:p>
    <w:p w:rsidR="007E360C" w:rsidRPr="00496FD7" w:rsidRDefault="007E360C" w:rsidP="007E360C">
      <w:r w:rsidRPr="00496FD7">
        <w:t>След получаване на актуализирания образец „Бюджет по години”, в случаите, в които е налице увеличение или намаление на прогнозните стойности за следващите години, но тя се извършва компенсирано за годината и/или за годините, т.е. промяната не води до увеличение на общия размер на бюджетна линия, УО на ПТС съгласува промяната. В случаите, в които корекцията води до намаление на общата стойност на бюджетна линия, Ръководителят на УО на ПТС прави изменение на заповедта за предоставяне на БФП, съответно одобрява предложения нов образец „Бюджет” за разходване на бюджетната линия. При неизпълнение на планираните разходи по бюджетната линия, Ръководителят на УО на ПТС може да издаде заповед за намаление на общия размер на финансирането, с оглед освобождаване на ресурс.</w:t>
      </w:r>
    </w:p>
    <w:p w:rsidR="007E360C" w:rsidRPr="00496FD7" w:rsidRDefault="007E360C" w:rsidP="007E360C">
      <w:r w:rsidRPr="00496FD7">
        <w:t xml:space="preserve">Авансовото плащане е в размер до 20% от общия размер на планираните разходи за периода на финансирането. Авансови средства по открита бюджетна линия се изплащат на бенефициента след подписване на заповедта за предоставяне на БФП. </w:t>
      </w:r>
    </w:p>
    <w:p w:rsidR="007E360C" w:rsidRPr="00496FD7" w:rsidRDefault="007E360C" w:rsidP="007E360C"/>
    <w:p w:rsidR="007E360C" w:rsidRPr="00496FD7" w:rsidRDefault="007E360C" w:rsidP="007E360C">
      <w:pPr>
        <w:rPr>
          <w:lang w:eastAsia="bg-BG"/>
        </w:rPr>
      </w:pPr>
      <w:r w:rsidRPr="00496FD7">
        <w:rPr>
          <w:i/>
          <w:lang w:eastAsia="bg-BG"/>
        </w:rPr>
        <w:t>Срок за изпълнение:</w:t>
      </w:r>
      <w:r w:rsidRPr="00496FD7">
        <w:rPr>
          <w:lang w:eastAsia="bg-BG"/>
        </w:rPr>
        <w:t xml:space="preserve">  Оценката на бюджетните линии се извършва в срок до един месец от датата на подаването им</w:t>
      </w:r>
    </w:p>
    <w:p w:rsidR="007E360C" w:rsidRPr="00496FD7" w:rsidRDefault="007E360C" w:rsidP="007E360C">
      <w:pPr>
        <w:pStyle w:val="Style3"/>
        <w:rPr>
          <w:lang w:val="bg-BG" w:eastAsia="bg-BG"/>
        </w:rPr>
      </w:pPr>
      <w:bookmarkStart w:id="168" w:name="_Toc479775668"/>
      <w:r w:rsidRPr="00496FD7">
        <w:rPr>
          <w:lang w:val="bg-BG"/>
        </w:rPr>
        <w:lastRenderedPageBreak/>
        <w:t xml:space="preserve">Основни </w:t>
      </w:r>
      <w:r w:rsidRPr="00496FD7">
        <w:rPr>
          <w:lang w:val="bg-BG" w:eastAsia="bg-BG"/>
        </w:rPr>
        <w:t>стъпки</w:t>
      </w:r>
      <w:r w:rsidRPr="00496FD7">
        <w:rPr>
          <w:lang w:val="bg-BG"/>
        </w:rPr>
        <w:t xml:space="preserve"> при оценката на бюджетната линия (финансов план)</w:t>
      </w:r>
      <w:bookmarkEnd w:id="168"/>
      <w:r w:rsidRPr="00496FD7">
        <w:rPr>
          <w:lang w:val="bg-BG"/>
        </w:rPr>
        <w:t xml:space="preserve"> </w:t>
      </w:r>
    </w:p>
    <w:p w:rsidR="007E360C" w:rsidRPr="00496FD7" w:rsidRDefault="007E360C" w:rsidP="007E360C">
      <w:pPr>
        <w:ind w:firstLine="992"/>
        <w:contextualSpacing/>
        <w:rPr>
          <w:szCs w:val="24"/>
          <w:lang w:eastAsia="bg-BG"/>
        </w:rPr>
      </w:pPr>
      <w:r w:rsidRPr="00496FD7">
        <w:rPr>
          <w:szCs w:val="24"/>
          <w:lang w:eastAsia="bg-BG"/>
        </w:rPr>
        <w:t xml:space="preserve">Процесът по оценка на получените бюджетни линии стартира след подписване и връчване на Решението за сформиране на оценителна комисия на членовете й. В случай, че експерти от дирекция КПП участват в подготовката на бюджетната линия с бенефициент УО на ПТС, те не трябва да се включват в оценителната комисия.  </w:t>
      </w:r>
    </w:p>
    <w:p w:rsidR="007E360C" w:rsidRPr="00496FD7" w:rsidRDefault="007E360C" w:rsidP="00E80472">
      <w:pPr>
        <w:numPr>
          <w:ilvl w:val="0"/>
          <w:numId w:val="24"/>
        </w:numPr>
        <w:tabs>
          <w:tab w:val="left" w:pos="851"/>
        </w:tabs>
        <w:spacing w:before="120"/>
        <w:ind w:left="0" w:firstLine="567"/>
        <w:rPr>
          <w:szCs w:val="24"/>
          <w:lang w:eastAsia="bg-BG"/>
        </w:rPr>
      </w:pPr>
      <w:r w:rsidRPr="00496FD7">
        <w:rPr>
          <w:szCs w:val="24"/>
        </w:rPr>
        <w:t>Председателя на оценителната комисия организира провеждането на първо заседание на оценителната комисия и подписването от членовете на декларации за липса на конфл</w:t>
      </w:r>
      <w:r w:rsidR="001157F6" w:rsidRPr="00496FD7">
        <w:rPr>
          <w:szCs w:val="24"/>
        </w:rPr>
        <w:t>икт на интереси и поверителност</w:t>
      </w:r>
      <w:r w:rsidRPr="00496FD7">
        <w:rPr>
          <w:b/>
          <w:szCs w:val="24"/>
        </w:rPr>
        <w:t>.</w:t>
      </w:r>
      <w:r w:rsidRPr="00496FD7">
        <w:rPr>
          <w:b/>
          <w:szCs w:val="24"/>
          <w:lang w:eastAsia="bg-BG"/>
        </w:rPr>
        <w:t xml:space="preserve"> </w:t>
      </w:r>
    </w:p>
    <w:p w:rsidR="007E360C" w:rsidRPr="00496FD7" w:rsidRDefault="007E360C" w:rsidP="00E80472">
      <w:pPr>
        <w:numPr>
          <w:ilvl w:val="0"/>
          <w:numId w:val="24"/>
        </w:numPr>
        <w:tabs>
          <w:tab w:val="left" w:pos="851"/>
        </w:tabs>
        <w:spacing w:before="120"/>
        <w:ind w:left="0" w:firstLine="567"/>
        <w:rPr>
          <w:szCs w:val="24"/>
          <w:lang w:eastAsia="bg-BG"/>
        </w:rPr>
      </w:pPr>
      <w:r w:rsidRPr="00496FD7">
        <w:rPr>
          <w:szCs w:val="24"/>
        </w:rPr>
        <w:t>Председателя на оценителната комисия на първото заседание на комисията запознава всички членове на оценителната комисия с процедурата на оценка  на бюджетни линии при процедура на директно предоставяне на БФП по ПТС,</w:t>
      </w:r>
      <w:r w:rsidRPr="00496FD7">
        <w:rPr>
          <w:szCs w:val="24"/>
          <w:lang w:eastAsia="bg-BG"/>
        </w:rPr>
        <w:t xml:space="preserve"> с </w:t>
      </w:r>
      <w:r w:rsidR="007C4548" w:rsidRPr="00496FD7">
        <w:rPr>
          <w:szCs w:val="24"/>
          <w:lang w:eastAsia="bg-BG"/>
        </w:rPr>
        <w:t>Насоките по процедурата</w:t>
      </w:r>
      <w:r w:rsidRPr="00496FD7">
        <w:rPr>
          <w:szCs w:val="24"/>
        </w:rPr>
        <w:t xml:space="preserve">. </w:t>
      </w:r>
    </w:p>
    <w:p w:rsidR="007E360C" w:rsidRPr="00496FD7" w:rsidRDefault="007E360C" w:rsidP="007E360C">
      <w:pPr>
        <w:ind w:left="720"/>
        <w:contextualSpacing/>
        <w:rPr>
          <w:szCs w:val="24"/>
          <w:lang w:eastAsia="bg-BG"/>
        </w:rPr>
      </w:pPr>
    </w:p>
    <w:p w:rsidR="007E360C" w:rsidRPr="00496FD7" w:rsidRDefault="007E360C" w:rsidP="007E360C">
      <w:pPr>
        <w:contextualSpacing/>
        <w:rPr>
          <w:szCs w:val="24"/>
          <w:lang w:eastAsia="bg-BG"/>
        </w:rPr>
      </w:pPr>
      <w:r w:rsidRPr="00496FD7">
        <w:rPr>
          <w:i/>
          <w:szCs w:val="24"/>
          <w:lang w:eastAsia="bg-BG"/>
        </w:rPr>
        <w:t>Срок за изпълнение:</w:t>
      </w:r>
      <w:r w:rsidRPr="00496FD7">
        <w:rPr>
          <w:szCs w:val="24"/>
          <w:lang w:eastAsia="bg-BG"/>
        </w:rPr>
        <w:t xml:space="preserve"> До 3 работни дни от регистриране на решението за сформиране на оценителна комисия</w:t>
      </w:r>
    </w:p>
    <w:p w:rsidR="007E360C" w:rsidRPr="00496FD7" w:rsidRDefault="007E360C" w:rsidP="00E80472">
      <w:pPr>
        <w:numPr>
          <w:ilvl w:val="0"/>
          <w:numId w:val="24"/>
        </w:numPr>
        <w:tabs>
          <w:tab w:val="left" w:pos="851"/>
        </w:tabs>
        <w:spacing w:before="120"/>
        <w:ind w:left="0" w:firstLine="567"/>
        <w:rPr>
          <w:szCs w:val="24"/>
          <w:lang w:eastAsia="bg-BG"/>
        </w:rPr>
      </w:pPr>
      <w:r w:rsidRPr="00496FD7">
        <w:rPr>
          <w:szCs w:val="24"/>
          <w:lang w:eastAsia="bg-BG"/>
        </w:rPr>
        <w:t xml:space="preserve">Служител от УО, определен от Ръководителя на УО на ПТС </w:t>
      </w:r>
      <w:r w:rsidR="00AF7398" w:rsidRPr="00496FD7">
        <w:rPr>
          <w:szCs w:val="24"/>
          <w:lang w:eastAsia="bg-BG"/>
        </w:rPr>
        <w:t xml:space="preserve">определен </w:t>
      </w:r>
      <w:r w:rsidRPr="00496FD7">
        <w:rPr>
          <w:szCs w:val="24"/>
          <w:lang w:eastAsia="bg-BG"/>
        </w:rPr>
        <w:t xml:space="preserve">в </w:t>
      </w:r>
      <w:r w:rsidRPr="00496FD7">
        <w:rPr>
          <w:szCs w:val="24"/>
        </w:rPr>
        <w:t>решението</w:t>
      </w:r>
      <w:r w:rsidRPr="00496FD7">
        <w:rPr>
          <w:szCs w:val="24"/>
          <w:lang w:eastAsia="bg-BG"/>
        </w:rPr>
        <w:t xml:space="preserve"> </w:t>
      </w:r>
      <w:r w:rsidR="00AF7398" w:rsidRPr="00496FD7">
        <w:rPr>
          <w:szCs w:val="24"/>
          <w:lang w:eastAsia="bg-BG"/>
        </w:rPr>
        <w:t>за сформиране на оценителна комисия</w:t>
      </w:r>
      <w:r w:rsidRPr="00496FD7">
        <w:rPr>
          <w:szCs w:val="24"/>
        </w:rPr>
        <w:t xml:space="preserve"> </w:t>
      </w:r>
      <w:r w:rsidRPr="00496FD7">
        <w:rPr>
          <w:szCs w:val="24"/>
          <w:lang w:eastAsia="bg-BG"/>
        </w:rPr>
        <w:t xml:space="preserve">извършва проверката за липса на конфликт на интереси на членовете на оценителната комисия като попълва контролен лист </w:t>
      </w:r>
      <w:hyperlink r:id="rId58" w:tooltip="Критерии  за осигуряване на информация за инвестиционни¦инфраструктурни проекти при извършването на оценка" w:history="1">
        <w:r w:rsidRPr="00496FD7">
          <w:rPr>
            <w:rStyle w:val="Hyperlink"/>
            <w:i/>
            <w:szCs w:val="24"/>
            <w:lang w:eastAsia="bg-BG"/>
          </w:rPr>
          <w:t>Приложение № 3.0</w:t>
        </w:r>
      </w:hyperlink>
      <w:r w:rsidR="009378CA">
        <w:rPr>
          <w:rStyle w:val="Hyperlink"/>
          <w:i/>
          <w:szCs w:val="24"/>
          <w:lang w:eastAsia="bg-BG"/>
        </w:rPr>
        <w:t>3.1</w:t>
      </w:r>
      <w:r w:rsidRPr="00496FD7">
        <w:rPr>
          <w:szCs w:val="24"/>
          <w:lang w:eastAsia="bg-BG"/>
        </w:rPr>
        <w:t xml:space="preserve"> в ИСУН 2020.</w:t>
      </w:r>
    </w:p>
    <w:p w:rsidR="007E360C" w:rsidRPr="00496FD7" w:rsidRDefault="007E360C" w:rsidP="007E360C">
      <w:pPr>
        <w:contextualSpacing/>
        <w:rPr>
          <w:szCs w:val="24"/>
          <w:lang w:eastAsia="bg-BG"/>
        </w:rPr>
      </w:pPr>
      <w:r w:rsidRPr="00496FD7">
        <w:rPr>
          <w:i/>
          <w:szCs w:val="24"/>
          <w:lang w:eastAsia="bg-BG"/>
        </w:rPr>
        <w:t>Срок за изпълнение:</w:t>
      </w:r>
      <w:r w:rsidRPr="00496FD7">
        <w:rPr>
          <w:szCs w:val="24"/>
          <w:lang w:eastAsia="bg-BG"/>
        </w:rPr>
        <w:t xml:space="preserve"> До 3 работни дни от регистриране на Решението за сформиране на оценителна комисия</w:t>
      </w:r>
      <w:r w:rsidRPr="00496FD7">
        <w:rPr>
          <w:b/>
          <w:szCs w:val="24"/>
          <w:lang w:eastAsia="bg-BG"/>
        </w:rPr>
        <w:t>.</w:t>
      </w:r>
    </w:p>
    <w:p w:rsidR="007E360C" w:rsidRPr="00496FD7" w:rsidRDefault="007E360C" w:rsidP="00E80472">
      <w:pPr>
        <w:numPr>
          <w:ilvl w:val="0"/>
          <w:numId w:val="24"/>
        </w:numPr>
        <w:tabs>
          <w:tab w:val="left" w:pos="851"/>
        </w:tabs>
        <w:spacing w:before="120"/>
        <w:ind w:left="0" w:firstLine="567"/>
        <w:rPr>
          <w:i/>
          <w:szCs w:val="24"/>
          <w:lang w:eastAsia="bg-BG"/>
        </w:rPr>
      </w:pPr>
      <w:r w:rsidRPr="00496FD7">
        <w:rPr>
          <w:szCs w:val="24"/>
          <w:lang w:eastAsia="bg-BG"/>
        </w:rPr>
        <w:t>Всеки член на оценителната комисия извършва оценка на финансовия план и формуляра за кандидатстване за финансиране на бюджетната линия, включваща оценка на административното съответствие и допустимостта.</w:t>
      </w:r>
    </w:p>
    <w:p w:rsidR="007E360C" w:rsidRPr="00496FD7" w:rsidRDefault="007E360C" w:rsidP="007E360C">
      <w:pPr>
        <w:contextualSpacing/>
        <w:rPr>
          <w:b/>
          <w:szCs w:val="24"/>
          <w:lang w:eastAsia="bg-BG"/>
        </w:rPr>
      </w:pPr>
      <w:r w:rsidRPr="00496FD7">
        <w:rPr>
          <w:i/>
          <w:szCs w:val="24"/>
          <w:lang w:eastAsia="bg-BG"/>
        </w:rPr>
        <w:t>Срок за изпълнение:</w:t>
      </w:r>
      <w:r w:rsidRPr="00496FD7">
        <w:rPr>
          <w:szCs w:val="24"/>
          <w:lang w:eastAsia="bg-BG"/>
        </w:rPr>
        <w:t xml:space="preserve"> Съгласно срока, посочен в Решението за сформиране на оценителна комисия, но не повече от един месец от подаване на бюджетната линия.</w:t>
      </w:r>
    </w:p>
    <w:p w:rsidR="007E360C" w:rsidRPr="00496FD7" w:rsidRDefault="007E360C" w:rsidP="00E80472">
      <w:pPr>
        <w:numPr>
          <w:ilvl w:val="0"/>
          <w:numId w:val="24"/>
        </w:numPr>
        <w:tabs>
          <w:tab w:val="left" w:pos="851"/>
        </w:tabs>
        <w:spacing w:before="120"/>
        <w:ind w:left="0" w:firstLine="567"/>
        <w:rPr>
          <w:szCs w:val="24"/>
          <w:lang w:eastAsia="bg-BG"/>
        </w:rPr>
      </w:pPr>
      <w:r w:rsidRPr="00496FD7">
        <w:rPr>
          <w:szCs w:val="24"/>
          <w:lang w:eastAsia="bg-BG"/>
        </w:rPr>
        <w:t>В случаи на установени в процеса на оценка непълноти и/или нередовности на формуляра за кандидатстване за финансиране на бюджетна линия, включително финансовия план, той може да бъде връщан мотив</w:t>
      </w:r>
      <w:r w:rsidR="00AF7398" w:rsidRPr="00496FD7">
        <w:rPr>
          <w:szCs w:val="24"/>
          <w:lang w:eastAsia="bg-BG"/>
        </w:rPr>
        <w:t>ирано на конкретния бенефициент.</w:t>
      </w:r>
    </w:p>
    <w:p w:rsidR="007E360C" w:rsidRPr="00496FD7" w:rsidRDefault="00A31822" w:rsidP="00A31822">
      <w:pPr>
        <w:numPr>
          <w:ilvl w:val="0"/>
          <w:numId w:val="24"/>
        </w:numPr>
        <w:tabs>
          <w:tab w:val="left" w:pos="851"/>
        </w:tabs>
        <w:spacing w:before="120"/>
        <w:ind w:left="0" w:firstLine="567"/>
        <w:rPr>
          <w:szCs w:val="24"/>
          <w:lang w:eastAsia="bg-BG"/>
        </w:rPr>
      </w:pPr>
      <w:r w:rsidRPr="00496FD7">
        <w:rPr>
          <w:szCs w:val="24"/>
          <w:lang w:eastAsia="bg-BG"/>
        </w:rPr>
        <w:t>Членовете на оценителната комисия извършват проверка за съответствие с насоките по процедурата и правилата за допустимите държавни/ минимални помощи, съгласно глава 2 „Държавни помощи“. Резултатите от проверката се записват в Контролен лист – Приложение № 2.02 (когато съгласно насоките финансираните мерки/дейностите попадат в изключенията за ДП, Приложение № 2.03 (когато съгласно насоките по процедурата финансираните мерки/дейности е съвместима ДП) в ИСУН 2020. Председателят на оценителната комисия извършва втора проверка на попълнения контролен лист в системата.</w:t>
      </w:r>
    </w:p>
    <w:p w:rsidR="007E360C" w:rsidRPr="00496FD7" w:rsidRDefault="007E360C" w:rsidP="00E80472">
      <w:pPr>
        <w:numPr>
          <w:ilvl w:val="0"/>
          <w:numId w:val="24"/>
        </w:numPr>
        <w:tabs>
          <w:tab w:val="left" w:pos="851"/>
        </w:tabs>
        <w:spacing w:before="120"/>
        <w:ind w:left="0" w:firstLine="567"/>
        <w:rPr>
          <w:szCs w:val="24"/>
        </w:rPr>
      </w:pPr>
      <w:r w:rsidRPr="00496FD7">
        <w:rPr>
          <w:szCs w:val="24"/>
        </w:rPr>
        <w:t xml:space="preserve">Всеки оценител с право на глас отразява в ИСУН 2020 резултатите от извършената оценка, съдържаща мотивирано заключение, направено по време на цялостната оценка по </w:t>
      </w:r>
      <w:r w:rsidRPr="00496FD7">
        <w:rPr>
          <w:szCs w:val="24"/>
          <w:lang w:eastAsia="bg-BG"/>
        </w:rPr>
        <w:t>отношение</w:t>
      </w:r>
      <w:r w:rsidRPr="00496FD7">
        <w:rPr>
          <w:szCs w:val="24"/>
        </w:rPr>
        <w:t xml:space="preserve"> на критериите за оценка на проекта и в съответствие с </w:t>
      </w:r>
      <w:r w:rsidRPr="00496FD7">
        <w:rPr>
          <w:szCs w:val="24"/>
          <w:lang w:eastAsia="bg-BG"/>
        </w:rPr>
        <w:t>критериите</w:t>
      </w:r>
      <w:r w:rsidRPr="00496FD7">
        <w:rPr>
          <w:szCs w:val="24"/>
        </w:rPr>
        <w:t xml:space="preserve"> за оценка на проекти, съгласно </w:t>
      </w:r>
      <w:r w:rsidR="007C4548" w:rsidRPr="00496FD7">
        <w:rPr>
          <w:szCs w:val="24"/>
        </w:rPr>
        <w:t>Насоките по процедурата</w:t>
      </w:r>
      <w:r w:rsidRPr="00496FD7">
        <w:rPr>
          <w:szCs w:val="24"/>
        </w:rPr>
        <w:t>.</w:t>
      </w:r>
    </w:p>
    <w:p w:rsidR="007E360C" w:rsidRPr="00496FD7" w:rsidRDefault="007E360C" w:rsidP="00E80472">
      <w:pPr>
        <w:numPr>
          <w:ilvl w:val="0"/>
          <w:numId w:val="24"/>
        </w:numPr>
        <w:tabs>
          <w:tab w:val="left" w:pos="851"/>
        </w:tabs>
        <w:spacing w:before="120"/>
        <w:ind w:left="0" w:firstLine="567"/>
        <w:rPr>
          <w:szCs w:val="24"/>
          <w:lang w:eastAsia="bg-BG"/>
        </w:rPr>
      </w:pPr>
      <w:r w:rsidRPr="00496FD7">
        <w:rPr>
          <w:szCs w:val="24"/>
          <w:lang w:eastAsia="bg-BG"/>
        </w:rPr>
        <w:lastRenderedPageBreak/>
        <w:t xml:space="preserve">Член на оценителната комисия, определен от председателя й извършва проверка за липса на двойно финансиране и резултатите от проверката се записват в Контролен лист </w:t>
      </w:r>
      <w:r w:rsidRPr="00496FD7">
        <w:rPr>
          <w:b/>
          <w:i/>
          <w:szCs w:val="24"/>
          <w:lang w:eastAsia="bg-BG"/>
        </w:rPr>
        <w:t>(</w:t>
      </w:r>
      <w:hyperlink r:id="rId59" w:tooltip="Контролен лист за извършена проверка в ИСУН за липса на двойно финансиране" w:history="1">
        <w:r w:rsidRPr="00496FD7">
          <w:rPr>
            <w:rStyle w:val="Hyperlink"/>
            <w:i/>
            <w:szCs w:val="24"/>
            <w:lang w:eastAsia="bg-BG"/>
          </w:rPr>
          <w:t>Приложение № 3.0</w:t>
        </w:r>
        <w:r w:rsidR="009378CA">
          <w:rPr>
            <w:rStyle w:val="Hyperlink"/>
            <w:i/>
            <w:szCs w:val="24"/>
            <w:lang w:eastAsia="bg-BG"/>
          </w:rPr>
          <w:t>3.</w:t>
        </w:r>
      </w:hyperlink>
      <w:r w:rsidR="009378CA">
        <w:rPr>
          <w:rStyle w:val="Hyperlink"/>
          <w:i/>
          <w:szCs w:val="24"/>
          <w:lang w:eastAsia="bg-BG"/>
        </w:rPr>
        <w:t>4</w:t>
      </w:r>
      <w:r w:rsidRPr="00496FD7">
        <w:rPr>
          <w:b/>
          <w:i/>
          <w:szCs w:val="24"/>
          <w:lang w:eastAsia="bg-BG"/>
        </w:rPr>
        <w:t xml:space="preserve">) </w:t>
      </w:r>
      <w:r w:rsidRPr="00496FD7">
        <w:rPr>
          <w:szCs w:val="24"/>
          <w:lang w:eastAsia="bg-BG"/>
        </w:rPr>
        <w:t xml:space="preserve">в ИСУН 2020. Председателят на оценителната комисия извършва втора проверка </w:t>
      </w:r>
      <w:r w:rsidR="00AF7398" w:rsidRPr="00496FD7">
        <w:rPr>
          <w:szCs w:val="24"/>
          <w:lang w:eastAsia="bg-BG"/>
        </w:rPr>
        <w:t xml:space="preserve">в ИСУН 2020 </w:t>
      </w:r>
      <w:r w:rsidRPr="00496FD7">
        <w:rPr>
          <w:szCs w:val="24"/>
          <w:lang w:eastAsia="bg-BG"/>
        </w:rPr>
        <w:t>на попълнения контролен лист в системата.</w:t>
      </w:r>
    </w:p>
    <w:p w:rsidR="007E360C" w:rsidRPr="00496FD7" w:rsidRDefault="007E360C" w:rsidP="00E80472">
      <w:pPr>
        <w:numPr>
          <w:ilvl w:val="0"/>
          <w:numId w:val="24"/>
        </w:numPr>
        <w:tabs>
          <w:tab w:val="left" w:pos="851"/>
        </w:tabs>
        <w:spacing w:before="120"/>
        <w:ind w:left="0" w:firstLine="567"/>
        <w:rPr>
          <w:szCs w:val="24"/>
          <w:lang w:eastAsia="bg-BG"/>
        </w:rPr>
      </w:pPr>
      <w:r w:rsidRPr="00496FD7">
        <w:rPr>
          <w:szCs w:val="24"/>
          <w:lang w:eastAsia="bg-BG"/>
        </w:rPr>
        <w:t xml:space="preserve">Оценителната комисия изготвя </w:t>
      </w:r>
      <w:r w:rsidRPr="00496FD7">
        <w:rPr>
          <w:b/>
          <w:i/>
          <w:szCs w:val="24"/>
          <w:lang w:eastAsia="bg-BG"/>
        </w:rPr>
        <w:t>(</w:t>
      </w:r>
      <w:hyperlink r:id="rId60" w:tooltip="Доклад за извършена оценка на проектно предложение" w:history="1">
        <w:r w:rsidRPr="00496FD7">
          <w:rPr>
            <w:rStyle w:val="Hyperlink"/>
            <w:i/>
            <w:szCs w:val="24"/>
            <w:lang w:eastAsia="bg-BG"/>
          </w:rPr>
          <w:t>Приложение № 3.0</w:t>
        </w:r>
      </w:hyperlink>
      <w:r w:rsidR="009378CA">
        <w:rPr>
          <w:rStyle w:val="Hyperlink"/>
          <w:i/>
          <w:szCs w:val="24"/>
          <w:lang w:eastAsia="bg-BG"/>
        </w:rPr>
        <w:t>5</w:t>
      </w:r>
      <w:r w:rsidRPr="00496FD7">
        <w:rPr>
          <w:b/>
          <w:i/>
          <w:szCs w:val="24"/>
          <w:lang w:eastAsia="bg-BG"/>
        </w:rPr>
        <w:t>)</w:t>
      </w:r>
      <w:r w:rsidRPr="00496FD7">
        <w:rPr>
          <w:szCs w:val="24"/>
          <w:lang w:eastAsia="bg-BG"/>
        </w:rPr>
        <w:t xml:space="preserve"> „Доклад на оценителна комисия“.</w:t>
      </w:r>
    </w:p>
    <w:p w:rsidR="007E360C" w:rsidRPr="00496FD7" w:rsidRDefault="007E360C" w:rsidP="007E360C">
      <w:pPr>
        <w:contextualSpacing/>
        <w:rPr>
          <w:szCs w:val="24"/>
          <w:lang w:eastAsia="bg-BG"/>
        </w:rPr>
      </w:pPr>
      <w:r w:rsidRPr="00496FD7">
        <w:rPr>
          <w:i/>
          <w:szCs w:val="24"/>
          <w:lang w:eastAsia="bg-BG"/>
        </w:rPr>
        <w:t>Срок за изпълнение:</w:t>
      </w:r>
      <w:r w:rsidRPr="00496FD7">
        <w:rPr>
          <w:szCs w:val="24"/>
          <w:lang w:eastAsia="bg-BG"/>
        </w:rPr>
        <w:t xml:space="preserve"> в съответствие със срока, посочен в решението за сформиране на оценителна комисия, но не повече от един месец от подаване на бюджетната линия.</w:t>
      </w:r>
    </w:p>
    <w:p w:rsidR="007E360C" w:rsidRPr="00496FD7" w:rsidRDefault="007E360C" w:rsidP="00E80472">
      <w:pPr>
        <w:numPr>
          <w:ilvl w:val="0"/>
          <w:numId w:val="24"/>
        </w:numPr>
        <w:tabs>
          <w:tab w:val="left" w:pos="993"/>
        </w:tabs>
        <w:spacing w:before="120"/>
        <w:ind w:left="0" w:firstLine="567"/>
        <w:rPr>
          <w:szCs w:val="24"/>
        </w:rPr>
      </w:pPr>
      <w:r w:rsidRPr="00496FD7">
        <w:rPr>
          <w:szCs w:val="24"/>
        </w:rPr>
        <w:t xml:space="preserve">Началникът на отдел „Програмиране” се запознава с оценения ФК, оценителния доклад  с отразени резултати от оценителните таблици на оценителите, контролни листа и всички документи свързани с процеса на извършване на оценката на ФК за извършване на проверка на процедурата и попълва </w:t>
      </w:r>
      <w:hyperlink r:id="rId61" w:tooltip="Контролен лист за проверка на процедурата на извършена оценка на проектно предложение" w:history="1">
        <w:r w:rsidRPr="00496FD7">
          <w:rPr>
            <w:rStyle w:val="Hyperlink"/>
            <w:i/>
            <w:szCs w:val="24"/>
          </w:rPr>
          <w:t>Приложение № 3.0</w:t>
        </w:r>
        <w:r w:rsidR="009378CA">
          <w:rPr>
            <w:rStyle w:val="Hyperlink"/>
            <w:i/>
            <w:szCs w:val="24"/>
          </w:rPr>
          <w:t>3.</w:t>
        </w:r>
      </w:hyperlink>
      <w:r w:rsidR="009378CA">
        <w:rPr>
          <w:rStyle w:val="Hyperlink"/>
          <w:i/>
          <w:szCs w:val="24"/>
        </w:rPr>
        <w:t>5</w:t>
      </w:r>
      <w:r w:rsidRPr="00496FD7">
        <w:rPr>
          <w:rStyle w:val="Hyperlink"/>
          <w:i/>
          <w:szCs w:val="24"/>
        </w:rPr>
        <w:t xml:space="preserve"> </w:t>
      </w:r>
      <w:r w:rsidRPr="00496FD7">
        <w:rPr>
          <w:rStyle w:val="Hyperlink"/>
          <w:color w:val="auto"/>
          <w:szCs w:val="24"/>
          <w:u w:val="none"/>
        </w:rPr>
        <w:t>в ИСУН 2020.</w:t>
      </w:r>
    </w:p>
    <w:p w:rsidR="007E360C" w:rsidRPr="00496FD7" w:rsidRDefault="007E360C" w:rsidP="007E360C">
      <w:pPr>
        <w:pStyle w:val="ListParagraph"/>
        <w:ind w:left="0"/>
        <w:rPr>
          <w:szCs w:val="24"/>
          <w:lang w:eastAsia="bg-BG"/>
        </w:rPr>
      </w:pPr>
      <w:r w:rsidRPr="00496FD7">
        <w:rPr>
          <w:i/>
          <w:szCs w:val="24"/>
          <w:lang w:eastAsia="bg-BG"/>
        </w:rPr>
        <w:t>Срок за изпълнение:</w:t>
      </w:r>
      <w:r w:rsidRPr="00496FD7">
        <w:rPr>
          <w:szCs w:val="24"/>
          <w:lang w:eastAsia="bg-BG"/>
        </w:rPr>
        <w:t xml:space="preserve"> До 5 работни дни от представянето на документите</w:t>
      </w:r>
    </w:p>
    <w:p w:rsidR="007E360C" w:rsidRPr="00496FD7" w:rsidRDefault="007E360C" w:rsidP="00E80472">
      <w:pPr>
        <w:numPr>
          <w:ilvl w:val="0"/>
          <w:numId w:val="24"/>
        </w:numPr>
        <w:tabs>
          <w:tab w:val="left" w:pos="993"/>
        </w:tabs>
        <w:spacing w:before="120"/>
        <w:ind w:left="0" w:firstLine="567"/>
        <w:rPr>
          <w:szCs w:val="24"/>
        </w:rPr>
      </w:pPr>
      <w:r w:rsidRPr="00496FD7">
        <w:rPr>
          <w:szCs w:val="24"/>
        </w:rPr>
        <w:t xml:space="preserve">Началника на отдел „Програмиране“ представя оценения ФК, оценителния доклад </w:t>
      </w:r>
      <w:r w:rsidRPr="00496FD7">
        <w:rPr>
          <w:i/>
          <w:szCs w:val="24"/>
          <w:u w:val="single"/>
        </w:rPr>
        <w:t>(Приложение № 3.0</w:t>
      </w:r>
      <w:r w:rsidR="009378CA">
        <w:rPr>
          <w:i/>
          <w:szCs w:val="24"/>
          <w:u w:val="single"/>
        </w:rPr>
        <w:t>5</w:t>
      </w:r>
      <w:r w:rsidRPr="00496FD7">
        <w:rPr>
          <w:szCs w:val="24"/>
        </w:rPr>
        <w:t xml:space="preserve">), съдържащ взетото решение за одобрение на оценителния доклад и </w:t>
      </w:r>
      <w:r w:rsidR="00703EB6">
        <w:rPr>
          <w:szCs w:val="24"/>
        </w:rPr>
        <w:t xml:space="preserve">решение за </w:t>
      </w:r>
      <w:r w:rsidR="00D034E1">
        <w:rPr>
          <w:szCs w:val="24"/>
        </w:rPr>
        <w:t>предоставяне на БФП, решение за отказ за предоставяне на</w:t>
      </w:r>
      <w:r w:rsidRPr="00496FD7">
        <w:rPr>
          <w:szCs w:val="24"/>
        </w:rPr>
        <w:t xml:space="preserve"> БФП </w:t>
      </w:r>
      <w:r w:rsidRPr="00496FD7">
        <w:rPr>
          <w:i/>
          <w:szCs w:val="24"/>
          <w:u w:val="single"/>
        </w:rPr>
        <w:t>(Приложение № 3.0</w:t>
      </w:r>
      <w:r w:rsidR="009378CA">
        <w:rPr>
          <w:i/>
          <w:szCs w:val="24"/>
          <w:u w:val="single"/>
        </w:rPr>
        <w:t>6</w:t>
      </w:r>
      <w:r w:rsidRPr="00496FD7">
        <w:rPr>
          <w:i/>
          <w:szCs w:val="24"/>
          <w:u w:val="single"/>
        </w:rPr>
        <w:t>)</w:t>
      </w:r>
      <w:r w:rsidRPr="00496FD7">
        <w:rPr>
          <w:szCs w:val="24"/>
        </w:rPr>
        <w:t xml:space="preserve"> и всички документи свързани с процеса на извършване на оценката му, които не са налични в системата ИСУН 2020 на директора на дирекция КПП. Директора на дирекция КПП извършва втора проверка в попълнения  от началника на отдел „Програмиране“ контролен лист </w:t>
      </w:r>
      <w:r w:rsidRPr="00496FD7">
        <w:rPr>
          <w:i/>
          <w:szCs w:val="24"/>
          <w:u w:val="single"/>
        </w:rPr>
        <w:t>Приложение № 3.</w:t>
      </w:r>
      <w:r w:rsidR="00AF7398" w:rsidRPr="00496FD7">
        <w:rPr>
          <w:i/>
          <w:szCs w:val="24"/>
          <w:u w:val="single"/>
        </w:rPr>
        <w:t>0</w:t>
      </w:r>
      <w:r w:rsidR="009378CA">
        <w:rPr>
          <w:i/>
          <w:szCs w:val="24"/>
          <w:u w:val="single"/>
        </w:rPr>
        <w:t>3.6</w:t>
      </w:r>
      <w:r w:rsidR="00AF7398" w:rsidRPr="00496FD7">
        <w:rPr>
          <w:szCs w:val="24"/>
        </w:rPr>
        <w:t xml:space="preserve"> в ИСУН 2020</w:t>
      </w:r>
      <w:r w:rsidRPr="00496FD7">
        <w:rPr>
          <w:szCs w:val="24"/>
        </w:rPr>
        <w:t>,  след което целия пакет от документи се предава</w:t>
      </w:r>
      <w:r w:rsidR="00AF7398" w:rsidRPr="00496FD7">
        <w:rPr>
          <w:szCs w:val="24"/>
        </w:rPr>
        <w:t xml:space="preserve">/насочва </w:t>
      </w:r>
      <w:r w:rsidRPr="00496FD7">
        <w:rPr>
          <w:szCs w:val="24"/>
        </w:rPr>
        <w:t xml:space="preserve">за одобрение от Ръководителя на УО на ПТС </w:t>
      </w:r>
      <w:r w:rsidRPr="00496FD7">
        <w:rPr>
          <w:i/>
          <w:szCs w:val="24"/>
        </w:rPr>
        <w:t>(когато директора на дирекция КПП не е Ръководител на УО).</w:t>
      </w:r>
    </w:p>
    <w:p w:rsidR="007E360C" w:rsidRPr="00496FD7" w:rsidRDefault="007E360C" w:rsidP="007E360C">
      <w:pPr>
        <w:spacing w:after="120"/>
        <w:ind w:left="1418" w:hanging="284"/>
        <w:rPr>
          <w:szCs w:val="24"/>
          <w:lang w:eastAsia="bg-BG"/>
        </w:rPr>
      </w:pPr>
      <w:r w:rsidRPr="00496FD7">
        <w:rPr>
          <w:i/>
          <w:szCs w:val="24"/>
          <w:lang w:eastAsia="bg-BG"/>
        </w:rPr>
        <w:t>Срок за изпълнение:</w:t>
      </w:r>
      <w:r w:rsidRPr="00496FD7">
        <w:rPr>
          <w:szCs w:val="24"/>
          <w:lang w:eastAsia="bg-BG"/>
        </w:rPr>
        <w:t xml:space="preserve"> До 5 работни дни за всеки съгласуващ и за одобряващия</w:t>
      </w:r>
    </w:p>
    <w:p w:rsidR="007E360C" w:rsidRPr="00496FD7" w:rsidRDefault="007E360C" w:rsidP="007E360C">
      <w:pPr>
        <w:spacing w:after="120"/>
        <w:ind w:left="1418" w:hanging="284"/>
        <w:rPr>
          <w:szCs w:val="24"/>
          <w:lang w:eastAsia="bg-BG"/>
        </w:rPr>
      </w:pPr>
    </w:p>
    <w:p w:rsidR="007E360C" w:rsidRPr="00703EB6" w:rsidRDefault="007E360C" w:rsidP="007E360C">
      <w:pPr>
        <w:pStyle w:val="Style2"/>
        <w:rPr>
          <w:lang w:val="bg-BG" w:eastAsia="bg-BG"/>
        </w:rPr>
      </w:pPr>
      <w:bookmarkStart w:id="169" w:name="_Ref395626228"/>
      <w:bookmarkStart w:id="170" w:name="_Toc479775669"/>
      <w:bookmarkStart w:id="171" w:name="_Toc140150222"/>
      <w:bookmarkStart w:id="172" w:name="_Toc152769901"/>
      <w:bookmarkEnd w:id="165"/>
      <w:r w:rsidRPr="00703EB6">
        <w:rPr>
          <w:lang w:val="bg-BG" w:eastAsia="bg-BG"/>
        </w:rPr>
        <w:t>Ревизиране на проектно предложение</w:t>
      </w:r>
      <w:bookmarkEnd w:id="169"/>
      <w:bookmarkEnd w:id="170"/>
      <w:bookmarkEnd w:id="171"/>
      <w:bookmarkEnd w:id="172"/>
    </w:p>
    <w:p w:rsidR="007E360C" w:rsidRPr="00496FD7" w:rsidRDefault="007E360C" w:rsidP="007E360C">
      <w:r w:rsidRPr="00496FD7">
        <w:t xml:space="preserve">Съгласно </w:t>
      </w:r>
      <w:r w:rsidR="00703EB6">
        <w:t>чл. 34, ал. 2 или</w:t>
      </w:r>
      <w:r w:rsidR="00703EB6" w:rsidRPr="00496FD7">
        <w:t xml:space="preserve"> от </w:t>
      </w:r>
      <w:r w:rsidRPr="00496FD7">
        <w:t xml:space="preserve">чл. 44, ал. 4 от </w:t>
      </w:r>
      <w:r w:rsidR="00436CBC" w:rsidRPr="00496FD7">
        <w:t>ЗУСЕФСУ</w:t>
      </w:r>
      <w:r w:rsidRPr="00496FD7">
        <w:t>, в случаи на установени в процеса на оценка нередовности, непълноти и/или несъответствия на проектното предложение, то може да бъде връщано мотивирано на</w:t>
      </w:r>
      <w:r w:rsidR="00703EB6">
        <w:t xml:space="preserve"> кандидата/</w:t>
      </w:r>
      <w:r w:rsidRPr="00496FD7">
        <w:t xml:space="preserve">конкретния бенефициент, като се посочва срок за отстраняването им. За целта оценителната комисия подготвя документ с конкретни бележки, препоръки за установените непълноти и/или нередовности. При определяне на срока за ревизиране на ФК следва реалистично да се оцени времето, което е необходимо за отстраняване на непълнотите и/или нередовностите на проектното предложение. </w:t>
      </w:r>
    </w:p>
    <w:p w:rsidR="007E360C" w:rsidRPr="00496FD7" w:rsidRDefault="007E360C" w:rsidP="00E80472">
      <w:pPr>
        <w:pStyle w:val="ListParagraph"/>
        <w:numPr>
          <w:ilvl w:val="0"/>
          <w:numId w:val="38"/>
        </w:numPr>
        <w:ind w:left="0" w:firstLine="851"/>
      </w:pPr>
      <w:r w:rsidRPr="00496FD7">
        <w:t>В случаи на установени в процеса на оценка непълноти и/или нередовности на проектното предложение, то може да бъде връщано мотивирано на конкретния бенефициент, като се посочва срок за отстраняването им, който не може да бъде по-кратък от една седмица. При определяне на срока за ревизиране на ФК следва реалистично да се оцени времето, което е необходимо за отстраняване на непълнотите и/или нередовностите на проектното предложение.</w:t>
      </w:r>
    </w:p>
    <w:p w:rsidR="007E360C" w:rsidRPr="00496FD7" w:rsidRDefault="007E360C" w:rsidP="00E80472">
      <w:pPr>
        <w:pStyle w:val="ListParagraph"/>
        <w:numPr>
          <w:ilvl w:val="0"/>
          <w:numId w:val="38"/>
        </w:numPr>
        <w:ind w:left="0" w:firstLine="851"/>
      </w:pPr>
      <w:r w:rsidRPr="00496FD7">
        <w:t xml:space="preserve">За установените в процеса на оценка несъответствия, непълноти и/или нередовности на проектното предложение чрез модул „Комуникация“ на системата </w:t>
      </w:r>
      <w:r w:rsidRPr="00496FD7">
        <w:lastRenderedPageBreak/>
        <w:t>ИСУН 2020 председателят на оценителната комисия уведомява бенефициента. При необходимост по преценка на председателя на оценителната комисия се изготвя официално писмо от името на Ръководителя/ Заместник ръководителя на УО на ПТС, което се съгласува с началника на отдел „Програмиране“ и/или директора на дирекция КПП.</w:t>
      </w:r>
    </w:p>
    <w:p w:rsidR="007E360C" w:rsidRPr="00496FD7" w:rsidRDefault="007E360C" w:rsidP="00E80472">
      <w:pPr>
        <w:pStyle w:val="ListParagraph"/>
        <w:numPr>
          <w:ilvl w:val="0"/>
          <w:numId w:val="38"/>
        </w:numPr>
        <w:ind w:left="0" w:firstLine="851"/>
      </w:pPr>
      <w:r w:rsidRPr="00496FD7">
        <w:t>Когато отговорът изисква редактиране на формуляра за кандидатстване, председателя на оценителната комисия отваря за редактиране в системата ИСУН 2020 за въвеждането/ промяната само по тези части от формуляра, които са маркирани за редакция.</w:t>
      </w:r>
    </w:p>
    <w:p w:rsidR="007E360C" w:rsidRPr="00496FD7" w:rsidRDefault="007E360C" w:rsidP="00E80472">
      <w:pPr>
        <w:pStyle w:val="ListParagraph"/>
        <w:numPr>
          <w:ilvl w:val="0"/>
          <w:numId w:val="38"/>
        </w:numPr>
        <w:ind w:left="0" w:firstLine="851"/>
      </w:pPr>
      <w:r w:rsidRPr="00496FD7">
        <w:t>Процедурата по ревизиране на проектното предложение се повтаря до отстраняване от бенефициента по проекта на установените от оценителната комисия несъответствия, непълноти и/или нередовности.</w:t>
      </w:r>
    </w:p>
    <w:p w:rsidR="007E360C" w:rsidRPr="00496FD7" w:rsidRDefault="007E360C" w:rsidP="00E80472">
      <w:pPr>
        <w:pStyle w:val="ListParagraph"/>
        <w:numPr>
          <w:ilvl w:val="0"/>
          <w:numId w:val="38"/>
        </w:numPr>
        <w:ind w:left="0" w:firstLine="851"/>
      </w:pPr>
      <w:r w:rsidRPr="00496FD7">
        <w:t xml:space="preserve">В случай, че несъответствията, непълнотите и/или нередовностите по проектното предложение не са отстранени в срок до 80 дни от датата на първоначалното му подаване и/или проектното предложение не е представено ревизирано, проектното предложение може да се счита за отхвърлено, за което бенефициента следва да е предварително уведомен или оценката да продължи до представянето на ревизирано версия с отстранени бележки. </w:t>
      </w:r>
    </w:p>
    <w:p w:rsidR="007E360C" w:rsidRPr="00496FD7" w:rsidRDefault="007E360C" w:rsidP="007E360C">
      <w:pPr>
        <w:rPr>
          <w:b/>
          <w:szCs w:val="24"/>
          <w:lang w:eastAsia="bg-BG"/>
        </w:rPr>
      </w:pPr>
    </w:p>
    <w:p w:rsidR="007E360C" w:rsidRPr="00496FD7" w:rsidRDefault="007E360C" w:rsidP="007E360C">
      <w:pPr>
        <w:pStyle w:val="Style2"/>
        <w:rPr>
          <w:lang w:val="bg-BG" w:eastAsia="bg-BG"/>
        </w:rPr>
      </w:pPr>
      <w:bookmarkStart w:id="173" w:name="_Toc479775670"/>
      <w:bookmarkStart w:id="174" w:name="_Toc140150223"/>
      <w:bookmarkStart w:id="175" w:name="_Toc152769902"/>
      <w:bookmarkStart w:id="176" w:name="_Ref407609016"/>
      <w:bookmarkStart w:id="177" w:name="_Ref406323209"/>
      <w:bookmarkStart w:id="178" w:name="_Ref403035455"/>
      <w:r w:rsidRPr="00496FD7">
        <w:rPr>
          <w:lang w:val="bg-BG" w:eastAsia="bg-BG"/>
        </w:rPr>
        <w:t>Механизъм за избягване на двойно финансиране</w:t>
      </w:r>
      <w:bookmarkEnd w:id="173"/>
      <w:bookmarkEnd w:id="174"/>
      <w:bookmarkEnd w:id="175"/>
    </w:p>
    <w:p w:rsidR="007E360C" w:rsidRPr="00496FD7" w:rsidRDefault="007E360C" w:rsidP="007E360C">
      <w:r w:rsidRPr="00496FD7">
        <w:t xml:space="preserve">БФП не може да бъде предоставяна за проектна дейност, финансирана по друг проект, програма или процедура, финансирани с публични средства, освен когато: </w:t>
      </w:r>
    </w:p>
    <w:p w:rsidR="007E360C" w:rsidRPr="00496FD7" w:rsidRDefault="007E360C" w:rsidP="00E80472">
      <w:pPr>
        <w:pStyle w:val="ListParagraph"/>
        <w:numPr>
          <w:ilvl w:val="0"/>
          <w:numId w:val="39"/>
        </w:numPr>
        <w:rPr>
          <w:lang w:eastAsia="bg-BG"/>
        </w:rPr>
      </w:pPr>
      <w:r w:rsidRPr="00496FD7">
        <w:rPr>
          <w:lang w:eastAsia="bg-BG"/>
        </w:rPr>
        <w:t>УО на ПТС прецени, че дейността е свързана с непрекъсната потребност на бенефициента или целевата група, но се отнасят за различен период от време;</w:t>
      </w:r>
    </w:p>
    <w:p w:rsidR="007E360C" w:rsidRPr="00496FD7" w:rsidRDefault="007E360C" w:rsidP="00E80472">
      <w:pPr>
        <w:pStyle w:val="ListParagraph"/>
        <w:numPr>
          <w:ilvl w:val="0"/>
          <w:numId w:val="39"/>
        </w:numPr>
        <w:rPr>
          <w:lang w:eastAsia="bg-BG"/>
        </w:rPr>
      </w:pPr>
      <w:r w:rsidRPr="00496FD7">
        <w:rPr>
          <w:lang w:eastAsia="bg-BG"/>
        </w:rPr>
        <w:t xml:space="preserve">различни звена от структурата на бенефициента кандидатстват чрез него за финансиране на една и съща дейност; </w:t>
      </w:r>
    </w:p>
    <w:p w:rsidR="007E360C" w:rsidRPr="00496FD7" w:rsidRDefault="007E360C" w:rsidP="007E360C">
      <w:pPr>
        <w:rPr>
          <w:b/>
        </w:rPr>
      </w:pPr>
      <w:r w:rsidRPr="00496FD7">
        <w:rPr>
          <w:lang w:eastAsia="bg-BG"/>
        </w:rPr>
        <w:t xml:space="preserve">Тези случаи следва да са описани в контролния лист </w:t>
      </w:r>
      <w:hyperlink r:id="rId62" w:tooltip="Контролен лист за извършена проверка в ИСУН за липса на двойно финансиране" w:history="1">
        <w:r w:rsidRPr="00496FD7">
          <w:rPr>
            <w:rStyle w:val="Hyperlink"/>
            <w:i/>
          </w:rPr>
          <w:t>Приложение № 3.0</w:t>
        </w:r>
        <w:r w:rsidR="009378CA">
          <w:rPr>
            <w:rStyle w:val="Hyperlink"/>
            <w:i/>
          </w:rPr>
          <w:t>3.4</w:t>
        </w:r>
      </w:hyperlink>
      <w:r w:rsidRPr="00496FD7">
        <w:rPr>
          <w:rStyle w:val="Hyperlink"/>
          <w:u w:val="none"/>
        </w:rPr>
        <w:t xml:space="preserve"> </w:t>
      </w:r>
      <w:r w:rsidRPr="00496FD7">
        <w:rPr>
          <w:rStyle w:val="Hyperlink"/>
          <w:color w:val="auto"/>
          <w:u w:val="none"/>
        </w:rPr>
        <w:t>попълнен в ИСУН 2020.</w:t>
      </w:r>
    </w:p>
    <w:p w:rsidR="007E360C" w:rsidRPr="00496FD7" w:rsidRDefault="007E360C" w:rsidP="007E360C">
      <w:pPr>
        <w:rPr>
          <w:b/>
          <w:i/>
        </w:rPr>
      </w:pPr>
    </w:p>
    <w:p w:rsidR="007E360C" w:rsidRPr="00496FD7" w:rsidRDefault="007E360C" w:rsidP="007E360C">
      <w:r w:rsidRPr="00496FD7">
        <w:t>БФП се предоставя след извършване на проверка от УО на ПТ</w:t>
      </w:r>
      <w:r w:rsidR="00AF7398" w:rsidRPr="00496FD7">
        <w:t>С за липса на двойно финансиране</w:t>
      </w:r>
      <w:r w:rsidRPr="00496FD7">
        <w:t>. ИСУН 2020 позволява да се извърши проверка за двойно финансиране.</w:t>
      </w:r>
    </w:p>
    <w:p w:rsidR="007E360C" w:rsidRPr="00496FD7" w:rsidRDefault="007E360C" w:rsidP="007E360C"/>
    <w:p w:rsidR="007E360C" w:rsidRPr="00496FD7" w:rsidRDefault="007E360C" w:rsidP="007E360C">
      <w:pPr>
        <w:rPr>
          <w:b/>
          <w:u w:val="single"/>
        </w:rPr>
      </w:pPr>
      <w:r w:rsidRPr="00496FD7">
        <w:rPr>
          <w:b/>
          <w:u w:val="single"/>
        </w:rPr>
        <w:t>Основни стъпки:</w:t>
      </w:r>
    </w:p>
    <w:p w:rsidR="007E360C" w:rsidRPr="00496FD7" w:rsidRDefault="007E360C" w:rsidP="00E80472">
      <w:pPr>
        <w:pStyle w:val="ListParagraph"/>
        <w:numPr>
          <w:ilvl w:val="0"/>
          <w:numId w:val="40"/>
        </w:numPr>
        <w:ind w:left="0" w:firstLine="851"/>
      </w:pPr>
      <w:r w:rsidRPr="00496FD7">
        <w:t xml:space="preserve">За превенция от двойно финансиране на  разходи по проект/ бюджетна линия и избягване на риска от предоставяне на БФП за вече финансирани дейности първоначална проверка в ИСУН се извършва при подаване на ФК. При вероятност за двойно финансиране оценителната комисия изпраща бележка до конкретния бенефициент за изключване от обхвата на проекта на подобни разходи или за допълване на информацията с по-подробно описание на дейностите/ разходите, така че да се отстрани възникналото съмнение. </w:t>
      </w:r>
    </w:p>
    <w:p w:rsidR="007E360C" w:rsidRPr="00496FD7" w:rsidRDefault="007E360C" w:rsidP="00E80472">
      <w:pPr>
        <w:pStyle w:val="ListParagraph"/>
        <w:numPr>
          <w:ilvl w:val="0"/>
          <w:numId w:val="40"/>
        </w:numPr>
        <w:ind w:left="0" w:firstLine="851"/>
      </w:pPr>
      <w:r w:rsidRPr="00496FD7">
        <w:t xml:space="preserve">Проверката за липса на двойно финансиране се осъществява в ИСУН преди момента </w:t>
      </w:r>
      <w:r w:rsidR="00AF7398" w:rsidRPr="00496FD7">
        <w:t>на</w:t>
      </w:r>
      <w:r w:rsidRPr="00496FD7">
        <w:t xml:space="preserve"> одобрение</w:t>
      </w:r>
      <w:r w:rsidR="00AF7398" w:rsidRPr="00496FD7">
        <w:t>то</w:t>
      </w:r>
      <w:r w:rsidRPr="00496FD7">
        <w:t xml:space="preserve"> на доклада на оценителната комисия. </w:t>
      </w:r>
    </w:p>
    <w:p w:rsidR="007E360C" w:rsidRPr="00496FD7" w:rsidRDefault="007E360C" w:rsidP="00E80472">
      <w:pPr>
        <w:pStyle w:val="ListParagraph"/>
        <w:numPr>
          <w:ilvl w:val="0"/>
          <w:numId w:val="40"/>
        </w:numPr>
        <w:ind w:left="0" w:firstLine="851"/>
      </w:pPr>
      <w:r w:rsidRPr="00496FD7">
        <w:lastRenderedPageBreak/>
        <w:t>Проверката се извършва от член на оценителната комисия, определен от председателя на комисията,.</w:t>
      </w:r>
    </w:p>
    <w:p w:rsidR="007E360C" w:rsidRPr="00496FD7" w:rsidRDefault="007E360C" w:rsidP="00E80472">
      <w:pPr>
        <w:pStyle w:val="ListParagraph"/>
        <w:numPr>
          <w:ilvl w:val="0"/>
          <w:numId w:val="41"/>
        </w:numPr>
        <w:rPr>
          <w:lang w:eastAsia="bg-BG"/>
        </w:rPr>
      </w:pPr>
      <w:r w:rsidRPr="00496FD7">
        <w:rPr>
          <w:lang w:eastAsia="bg-BG"/>
        </w:rPr>
        <w:t xml:space="preserve">Резултатите от проверката се записват в Контролен лист - </w:t>
      </w:r>
      <w:hyperlink r:id="rId63" w:tooltip="Контролен лист за извършена проверка в ИСУН за липса на двойно финансиране" w:history="1">
        <w:r w:rsidRPr="00496FD7">
          <w:rPr>
            <w:rStyle w:val="Hyperlink"/>
            <w:i/>
          </w:rPr>
          <w:t>Приложение № 3.0</w:t>
        </w:r>
        <w:r w:rsidR="00994F44">
          <w:rPr>
            <w:rStyle w:val="Hyperlink"/>
            <w:i/>
          </w:rPr>
          <w:t>3.4</w:t>
        </w:r>
      </w:hyperlink>
      <w:r w:rsidRPr="00496FD7">
        <w:rPr>
          <w:rStyle w:val="Hyperlink"/>
          <w:i/>
        </w:rPr>
        <w:t xml:space="preserve"> </w:t>
      </w:r>
      <w:r w:rsidRPr="00496FD7">
        <w:rPr>
          <w:rStyle w:val="Hyperlink"/>
          <w:color w:val="auto"/>
          <w:u w:val="none"/>
        </w:rPr>
        <w:t>в ИСУН 2020</w:t>
      </w:r>
    </w:p>
    <w:p w:rsidR="007E360C" w:rsidRPr="00496FD7" w:rsidRDefault="007E360C" w:rsidP="00E80472">
      <w:pPr>
        <w:pStyle w:val="ListParagraph"/>
        <w:numPr>
          <w:ilvl w:val="0"/>
          <w:numId w:val="41"/>
        </w:numPr>
        <w:rPr>
          <w:lang w:eastAsia="bg-BG"/>
        </w:rPr>
      </w:pPr>
      <w:r w:rsidRPr="00496FD7">
        <w:rPr>
          <w:lang w:eastAsia="bg-BG"/>
        </w:rPr>
        <w:t>Председателят на оценителната комисия извършва втора проверка на попълнения контролен лист в системата.</w:t>
      </w:r>
    </w:p>
    <w:p w:rsidR="007E360C" w:rsidRPr="00496FD7" w:rsidRDefault="007E360C" w:rsidP="00E80472">
      <w:pPr>
        <w:pStyle w:val="ListParagraph"/>
        <w:numPr>
          <w:ilvl w:val="0"/>
          <w:numId w:val="40"/>
        </w:numPr>
        <w:ind w:left="0" w:firstLine="851"/>
      </w:pPr>
      <w:r w:rsidRPr="00496FD7">
        <w:t>В случаите, в които преди момента на сключване на административен договор/ договор за предоставяне на БФП/издаването за заповед за предоставяне на БФП не се установи наличие на двойно финансиране по проект или дейности по този проект, Ръководителят на УО на ПТС взема решение за одобрение на оценителния доклад и предоставяне на БФП.</w:t>
      </w:r>
    </w:p>
    <w:p w:rsidR="007E360C" w:rsidRPr="00496FD7" w:rsidRDefault="007E360C" w:rsidP="00E80472">
      <w:pPr>
        <w:pStyle w:val="ListParagraph"/>
        <w:numPr>
          <w:ilvl w:val="0"/>
          <w:numId w:val="40"/>
        </w:numPr>
        <w:ind w:left="0" w:firstLine="851"/>
      </w:pPr>
      <w:r w:rsidRPr="00496FD7">
        <w:t>В случаите, в които преди момента на сключване на административен договор/ заповед за предоставяне на БФП се установи наличие на двойно финансиране по проект/ бюджетна линия или дейности по този проект, Ръководителят на УО издава мотивирано решение за отказ за предоставяне на БФП.</w:t>
      </w:r>
    </w:p>
    <w:p w:rsidR="007E360C" w:rsidRPr="00496FD7" w:rsidRDefault="007E360C" w:rsidP="007E360C">
      <w:r w:rsidRPr="00496FD7">
        <w:rPr>
          <w:i/>
        </w:rPr>
        <w:t xml:space="preserve">Срок за изпълнение: </w:t>
      </w:r>
      <w:r w:rsidRPr="00496FD7">
        <w:t>преди момента на предоставяне на БФП и сключване на договор за предоставяне на БФП.</w:t>
      </w:r>
    </w:p>
    <w:p w:rsidR="007E360C" w:rsidRPr="00496FD7" w:rsidRDefault="007E360C" w:rsidP="007E360C"/>
    <w:p w:rsidR="007E360C" w:rsidRPr="00496FD7" w:rsidRDefault="007E360C" w:rsidP="007E360C">
      <w:pPr>
        <w:pStyle w:val="Style2"/>
        <w:rPr>
          <w:lang w:eastAsia="bg-BG"/>
        </w:rPr>
      </w:pPr>
      <w:bookmarkStart w:id="179" w:name="_Toc464561690"/>
      <w:bookmarkStart w:id="180" w:name="_Toc464573402"/>
      <w:bookmarkStart w:id="181" w:name="_Toc464573855"/>
      <w:bookmarkStart w:id="182" w:name="_Toc464561691"/>
      <w:bookmarkStart w:id="183" w:name="_Toc464573403"/>
      <w:bookmarkStart w:id="184" w:name="_Toc464573856"/>
      <w:bookmarkStart w:id="185" w:name="_Toc464561692"/>
      <w:bookmarkStart w:id="186" w:name="_Toc464573404"/>
      <w:bookmarkStart w:id="187" w:name="_Toc464573857"/>
      <w:bookmarkStart w:id="188" w:name="_Toc464561693"/>
      <w:bookmarkStart w:id="189" w:name="_Toc464573405"/>
      <w:bookmarkStart w:id="190" w:name="_Toc464573858"/>
      <w:bookmarkStart w:id="191" w:name="_Toc464561694"/>
      <w:bookmarkStart w:id="192" w:name="_Toc464573406"/>
      <w:bookmarkStart w:id="193" w:name="_Toc464573859"/>
      <w:bookmarkStart w:id="194" w:name="_Toc464561695"/>
      <w:bookmarkStart w:id="195" w:name="_Toc464573407"/>
      <w:bookmarkStart w:id="196" w:name="_Toc464573860"/>
      <w:bookmarkStart w:id="197" w:name="_Toc464561696"/>
      <w:bookmarkStart w:id="198" w:name="_Toc464573408"/>
      <w:bookmarkStart w:id="199" w:name="_Toc464573861"/>
      <w:bookmarkStart w:id="200" w:name="_Toc464561697"/>
      <w:bookmarkStart w:id="201" w:name="_Toc464573409"/>
      <w:bookmarkStart w:id="202" w:name="_Toc464573862"/>
      <w:bookmarkStart w:id="203" w:name="_Toc464561698"/>
      <w:bookmarkStart w:id="204" w:name="_Toc464573410"/>
      <w:bookmarkStart w:id="205" w:name="_Toc464573863"/>
      <w:bookmarkStart w:id="206" w:name="_Toc464561699"/>
      <w:bookmarkStart w:id="207" w:name="_Toc464573411"/>
      <w:bookmarkStart w:id="208" w:name="_Toc464573864"/>
      <w:bookmarkStart w:id="209" w:name="_Toc464561700"/>
      <w:bookmarkStart w:id="210" w:name="_Toc464573412"/>
      <w:bookmarkStart w:id="211" w:name="_Toc464573865"/>
      <w:bookmarkStart w:id="212" w:name="_Toc464561701"/>
      <w:bookmarkStart w:id="213" w:name="_Toc464573413"/>
      <w:bookmarkStart w:id="214" w:name="_Toc464573866"/>
      <w:bookmarkStart w:id="215" w:name="_Toc464561702"/>
      <w:bookmarkStart w:id="216" w:name="_Toc464573414"/>
      <w:bookmarkStart w:id="217" w:name="_Toc464573867"/>
      <w:bookmarkStart w:id="218" w:name="_Toc464561703"/>
      <w:bookmarkStart w:id="219" w:name="_Toc464573415"/>
      <w:bookmarkStart w:id="220" w:name="_Toc464573868"/>
      <w:bookmarkStart w:id="221" w:name="_Toc464561704"/>
      <w:bookmarkStart w:id="222" w:name="_Toc464573416"/>
      <w:bookmarkStart w:id="223" w:name="_Toc464573869"/>
      <w:bookmarkStart w:id="224" w:name="_Toc464561705"/>
      <w:bookmarkStart w:id="225" w:name="_Toc464573417"/>
      <w:bookmarkStart w:id="226" w:name="_Toc464573870"/>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r w:rsidRPr="00496FD7">
        <w:rPr>
          <w:lang w:val="bg-BG" w:eastAsia="bg-BG"/>
        </w:rPr>
        <w:t xml:space="preserve"> </w:t>
      </w:r>
      <w:bookmarkStart w:id="227" w:name="_Ref413933205"/>
      <w:bookmarkStart w:id="228" w:name="_Toc479775671"/>
      <w:bookmarkStart w:id="229" w:name="_Toc140150224"/>
      <w:bookmarkStart w:id="230" w:name="_Toc152769903"/>
      <w:r w:rsidRPr="00496FD7">
        <w:rPr>
          <w:lang w:eastAsia="bg-BG"/>
        </w:rPr>
        <w:t xml:space="preserve">Оценителни </w:t>
      </w:r>
      <w:r w:rsidRPr="00703EB6">
        <w:rPr>
          <w:lang w:val="bg-BG" w:eastAsia="bg-BG"/>
        </w:rPr>
        <w:t>таблици</w:t>
      </w:r>
      <w:bookmarkEnd w:id="227"/>
      <w:bookmarkEnd w:id="228"/>
      <w:bookmarkEnd w:id="229"/>
      <w:bookmarkEnd w:id="230"/>
    </w:p>
    <w:p w:rsidR="007E360C" w:rsidRPr="00496FD7" w:rsidRDefault="007E360C" w:rsidP="00E80472">
      <w:pPr>
        <w:pStyle w:val="ListParagraph"/>
        <w:numPr>
          <w:ilvl w:val="0"/>
          <w:numId w:val="42"/>
        </w:numPr>
        <w:ind w:left="0" w:firstLine="851"/>
      </w:pPr>
      <w:r w:rsidRPr="00496FD7">
        <w:t>Всеки оценител с право на глас отразява резултатите от извършената оценка в ИСУН 2020 в</w:t>
      </w:r>
      <w:r w:rsidR="00212B67" w:rsidRPr="00496FD7">
        <w:t xml:space="preserve"> приложимата оценителна таблица</w:t>
      </w:r>
      <w:r w:rsidRPr="00496FD7">
        <w:t xml:space="preserve">, съдържаща мотивирано заключение, направено по време на цялостната оценка по отношение на критериите за оценка на проекта. </w:t>
      </w:r>
    </w:p>
    <w:p w:rsidR="007E360C" w:rsidRPr="00496FD7" w:rsidRDefault="007E360C" w:rsidP="00E80472">
      <w:pPr>
        <w:pStyle w:val="ListParagraph"/>
        <w:numPr>
          <w:ilvl w:val="0"/>
          <w:numId w:val="42"/>
        </w:numPr>
        <w:ind w:left="0" w:firstLine="851"/>
      </w:pPr>
      <w:r w:rsidRPr="00496FD7">
        <w:t>Оценителната таблица трябва задължително да включва:</w:t>
      </w:r>
    </w:p>
    <w:p w:rsidR="007E360C" w:rsidRPr="00496FD7" w:rsidRDefault="007E360C" w:rsidP="00E80472">
      <w:pPr>
        <w:pStyle w:val="ListParagraph"/>
        <w:numPr>
          <w:ilvl w:val="0"/>
          <w:numId w:val="43"/>
        </w:numPr>
        <w:rPr>
          <w:lang w:eastAsia="bg-BG"/>
        </w:rPr>
      </w:pPr>
      <w:r w:rsidRPr="00496FD7">
        <w:rPr>
          <w:lang w:eastAsia="bg-BG"/>
        </w:rPr>
        <w:t>наименование на проектното предложение, номер на проектното предложение;</w:t>
      </w:r>
    </w:p>
    <w:p w:rsidR="007E360C" w:rsidRPr="00496FD7" w:rsidRDefault="007E360C" w:rsidP="00E80472">
      <w:pPr>
        <w:pStyle w:val="ListParagraph"/>
        <w:numPr>
          <w:ilvl w:val="0"/>
          <w:numId w:val="43"/>
        </w:numPr>
        <w:rPr>
          <w:lang w:eastAsia="bg-BG"/>
        </w:rPr>
      </w:pPr>
      <w:r w:rsidRPr="00496FD7">
        <w:rPr>
          <w:lang w:eastAsia="bg-BG"/>
        </w:rPr>
        <w:t>резултати от проверката по всички административните критерии;</w:t>
      </w:r>
    </w:p>
    <w:p w:rsidR="007E360C" w:rsidRPr="00496FD7" w:rsidRDefault="007E360C" w:rsidP="00E80472">
      <w:pPr>
        <w:pStyle w:val="ListParagraph"/>
        <w:numPr>
          <w:ilvl w:val="0"/>
          <w:numId w:val="43"/>
        </w:numPr>
        <w:rPr>
          <w:lang w:eastAsia="bg-BG"/>
        </w:rPr>
      </w:pPr>
      <w:r w:rsidRPr="00496FD7">
        <w:rPr>
          <w:lang w:eastAsia="bg-BG"/>
        </w:rPr>
        <w:t>резултати от проверката по всички критерии за допустимост;</w:t>
      </w:r>
    </w:p>
    <w:p w:rsidR="007E360C" w:rsidRPr="00496FD7" w:rsidRDefault="007E360C" w:rsidP="00E80472">
      <w:pPr>
        <w:pStyle w:val="ListParagraph"/>
        <w:numPr>
          <w:ilvl w:val="0"/>
          <w:numId w:val="43"/>
        </w:numPr>
        <w:rPr>
          <w:lang w:eastAsia="bg-BG"/>
        </w:rPr>
      </w:pPr>
      <w:r w:rsidRPr="00496FD7">
        <w:rPr>
          <w:lang w:eastAsia="bg-BG"/>
        </w:rPr>
        <w:t>заключения по техническата  и финансова оценка на проекта</w:t>
      </w:r>
      <w:r w:rsidR="00703EB6">
        <w:rPr>
          <w:rStyle w:val="FootnoteReference"/>
          <w:lang w:eastAsia="bg-BG"/>
        </w:rPr>
        <w:footnoteReference w:id="5"/>
      </w:r>
      <w:r w:rsidRPr="00496FD7">
        <w:rPr>
          <w:lang w:eastAsia="bg-BG"/>
        </w:rPr>
        <w:t>, които се отразяват в доклада;</w:t>
      </w:r>
    </w:p>
    <w:p w:rsidR="007E360C" w:rsidRPr="00496FD7" w:rsidRDefault="007E360C" w:rsidP="00E80472">
      <w:pPr>
        <w:pStyle w:val="ListParagraph"/>
        <w:numPr>
          <w:ilvl w:val="0"/>
          <w:numId w:val="43"/>
        </w:numPr>
        <w:rPr>
          <w:lang w:eastAsia="bg-BG"/>
        </w:rPr>
      </w:pPr>
      <w:r w:rsidRPr="00496FD7">
        <w:rPr>
          <w:lang w:eastAsia="bg-BG"/>
        </w:rPr>
        <w:t>препоръка за преминаване към следващ етап на оценка на проектното предложение, която се съдържа в доклада;</w:t>
      </w:r>
    </w:p>
    <w:p w:rsidR="007E360C" w:rsidRPr="00496FD7" w:rsidRDefault="007E360C" w:rsidP="00E80472">
      <w:pPr>
        <w:pStyle w:val="ListParagraph"/>
        <w:numPr>
          <w:ilvl w:val="0"/>
          <w:numId w:val="42"/>
        </w:numPr>
        <w:ind w:left="0" w:firstLine="851"/>
      </w:pPr>
      <w:r w:rsidRPr="00496FD7">
        <w:t xml:space="preserve">Оценителят, чрез отразяване в ИСУН 2020 може да препоръча проектното предложение да премине към следващ етап на оценка, когато ФК/ФП отговаря на всички критерии за административна оценка, оценка за допустимост, техническа и финансова оценка. </w:t>
      </w:r>
    </w:p>
    <w:p w:rsidR="007E360C" w:rsidRPr="00496FD7" w:rsidRDefault="007E360C" w:rsidP="007E360C">
      <w:pPr>
        <w:tabs>
          <w:tab w:val="num" w:pos="1134"/>
        </w:tabs>
        <w:spacing w:before="120" w:after="120"/>
        <w:ind w:firstLine="709"/>
        <w:rPr>
          <w:szCs w:val="24"/>
          <w:lang w:eastAsia="bg-BG"/>
        </w:rPr>
      </w:pPr>
      <w:r w:rsidRPr="00496FD7">
        <w:rPr>
          <w:szCs w:val="24"/>
          <w:lang w:eastAsia="bg-BG"/>
        </w:rPr>
        <w:t>или</w:t>
      </w:r>
    </w:p>
    <w:p w:rsidR="007E360C" w:rsidRPr="00496FD7" w:rsidRDefault="007E360C" w:rsidP="00E80472">
      <w:pPr>
        <w:pStyle w:val="ListParagraph"/>
        <w:numPr>
          <w:ilvl w:val="0"/>
          <w:numId w:val="42"/>
        </w:numPr>
        <w:ind w:left="0" w:firstLine="851"/>
      </w:pPr>
      <w:r w:rsidRPr="00496FD7">
        <w:t xml:space="preserve">Оценителят, чрез отразяване в ИСУН 2020 може да препоръча проектното предложение да не премине към следващ етап на оценка, когато ФК не отговаря на един, няколко или на всички критерии за административна оценка и/или оценка  за допустимост. В този случай се мотивирано се обосновава за непреминаването  на проектното предложение. </w:t>
      </w:r>
    </w:p>
    <w:p w:rsidR="007E360C" w:rsidRPr="00496FD7" w:rsidRDefault="007E360C" w:rsidP="007E360C">
      <w:pPr>
        <w:rPr>
          <w:lang w:eastAsia="bg-BG"/>
        </w:rPr>
      </w:pPr>
    </w:p>
    <w:p w:rsidR="007E360C" w:rsidRPr="00496FD7" w:rsidRDefault="007E360C" w:rsidP="007E360C">
      <w:pPr>
        <w:rPr>
          <w:lang w:eastAsia="bg-BG"/>
        </w:rPr>
      </w:pPr>
    </w:p>
    <w:p w:rsidR="007E360C" w:rsidRPr="00496FD7" w:rsidRDefault="007E360C" w:rsidP="007E360C">
      <w:pPr>
        <w:pStyle w:val="Style2"/>
        <w:rPr>
          <w:lang w:val="bg-BG" w:eastAsia="bg-BG"/>
        </w:rPr>
      </w:pPr>
      <w:bookmarkStart w:id="231" w:name="_Ref406325382"/>
      <w:bookmarkStart w:id="232" w:name="_Toc479775672"/>
      <w:bookmarkStart w:id="233" w:name="_Toc140150225"/>
      <w:bookmarkStart w:id="234" w:name="_Toc152769904"/>
      <w:r w:rsidRPr="00496FD7">
        <w:rPr>
          <w:lang w:val="bg-BG" w:eastAsia="bg-BG"/>
        </w:rPr>
        <w:t>Доклад на оценителна комисия</w:t>
      </w:r>
      <w:bookmarkEnd w:id="231"/>
      <w:r w:rsidRPr="00496FD7">
        <w:rPr>
          <w:lang w:val="bg-BG" w:eastAsia="bg-BG"/>
        </w:rPr>
        <w:t xml:space="preserve"> за извършена оценка на проектно предложение</w:t>
      </w:r>
      <w:bookmarkEnd w:id="232"/>
      <w:bookmarkEnd w:id="233"/>
      <w:bookmarkEnd w:id="234"/>
    </w:p>
    <w:p w:rsidR="007E360C" w:rsidRPr="00496FD7" w:rsidRDefault="007E360C" w:rsidP="00E80472">
      <w:pPr>
        <w:pStyle w:val="ListParagraph"/>
        <w:numPr>
          <w:ilvl w:val="0"/>
          <w:numId w:val="44"/>
        </w:numPr>
        <w:ind w:left="0" w:firstLine="851"/>
      </w:pPr>
      <w:r w:rsidRPr="00496FD7">
        <w:t xml:space="preserve">Резултатите от извършената оценка в ИСУН 2020 от членовете на оценителната комисия се отразяват в оценителен доклад - </w:t>
      </w:r>
      <w:hyperlink r:id="rId64" w:tooltip="Доклад за извършена оценка на проектно предложение" w:history="1">
        <w:r w:rsidRPr="00496FD7">
          <w:rPr>
            <w:rStyle w:val="Hyperlink"/>
            <w:i/>
          </w:rPr>
          <w:t>Приложение № 3.0</w:t>
        </w:r>
      </w:hyperlink>
      <w:r w:rsidR="00994F44">
        <w:rPr>
          <w:rStyle w:val="Hyperlink"/>
          <w:i/>
        </w:rPr>
        <w:t>5</w:t>
      </w:r>
      <w:r w:rsidRPr="00496FD7">
        <w:t xml:space="preserve"> съдържащ мотивирано заключение, направено по време на цялостната оценка по отношение на одобрението или отхвърлянето на проекта. </w:t>
      </w:r>
    </w:p>
    <w:p w:rsidR="007E360C" w:rsidRPr="00496FD7" w:rsidRDefault="007E360C" w:rsidP="00E80472">
      <w:pPr>
        <w:pStyle w:val="ListParagraph"/>
        <w:numPr>
          <w:ilvl w:val="0"/>
          <w:numId w:val="44"/>
        </w:numPr>
        <w:ind w:left="0" w:firstLine="851"/>
      </w:pPr>
      <w:r w:rsidRPr="00496FD7">
        <w:t>Докладът на оценителната комисия трябва задължително да включва:</w:t>
      </w:r>
    </w:p>
    <w:p w:rsidR="007E360C" w:rsidRPr="00496FD7" w:rsidRDefault="007E360C" w:rsidP="00E80472">
      <w:pPr>
        <w:pStyle w:val="ListParagraph"/>
        <w:numPr>
          <w:ilvl w:val="0"/>
          <w:numId w:val="45"/>
        </w:numPr>
        <w:ind w:left="0" w:firstLine="1211"/>
        <w:rPr>
          <w:lang w:eastAsia="bg-BG"/>
        </w:rPr>
      </w:pPr>
      <w:r w:rsidRPr="00496FD7">
        <w:rPr>
          <w:lang w:eastAsia="bg-BG"/>
        </w:rPr>
        <w:t>административни данни за проекта и конкретния бенефициент по ПТС: идентификационни данни на конкретния бенефициент, наименование на проектното предложение, номер на проектното предложение;</w:t>
      </w:r>
    </w:p>
    <w:p w:rsidR="007E360C" w:rsidRPr="00496FD7" w:rsidRDefault="007E360C" w:rsidP="00E80472">
      <w:pPr>
        <w:pStyle w:val="ListParagraph"/>
        <w:numPr>
          <w:ilvl w:val="0"/>
          <w:numId w:val="45"/>
        </w:numPr>
        <w:ind w:left="0" w:firstLine="1211"/>
        <w:rPr>
          <w:lang w:eastAsia="bg-BG"/>
        </w:rPr>
      </w:pPr>
      <w:r w:rsidRPr="00496FD7">
        <w:rPr>
          <w:lang w:eastAsia="bg-BG"/>
        </w:rPr>
        <w:t>резултати от проверката по критериите за допустимост;</w:t>
      </w:r>
    </w:p>
    <w:p w:rsidR="007E360C" w:rsidRPr="00496FD7" w:rsidRDefault="007E360C" w:rsidP="00E80472">
      <w:pPr>
        <w:pStyle w:val="ListParagraph"/>
        <w:numPr>
          <w:ilvl w:val="0"/>
          <w:numId w:val="45"/>
        </w:numPr>
        <w:ind w:left="0" w:firstLine="1211"/>
        <w:rPr>
          <w:lang w:eastAsia="bg-BG"/>
        </w:rPr>
      </w:pPr>
      <w:r w:rsidRPr="00496FD7">
        <w:rPr>
          <w:lang w:eastAsia="bg-BG"/>
        </w:rPr>
        <w:t>финансови параметри на проекта: обща стойност, допустими и недопустими разходи, финансиране от други източници;</w:t>
      </w:r>
    </w:p>
    <w:p w:rsidR="007E360C" w:rsidRPr="00496FD7" w:rsidRDefault="007E360C" w:rsidP="00E80472">
      <w:pPr>
        <w:pStyle w:val="ListParagraph"/>
        <w:numPr>
          <w:ilvl w:val="0"/>
          <w:numId w:val="45"/>
        </w:numPr>
        <w:ind w:left="0" w:firstLine="1211"/>
        <w:rPr>
          <w:lang w:eastAsia="bg-BG"/>
        </w:rPr>
      </w:pPr>
      <w:r w:rsidRPr="00496FD7">
        <w:rPr>
          <w:lang w:eastAsia="bg-BG"/>
        </w:rPr>
        <w:t>заключения по техническата  и финансова оценка на проекта</w:t>
      </w:r>
      <w:r w:rsidRPr="00496FD7">
        <w:rPr>
          <w:vertAlign w:val="superscript"/>
          <w:lang w:eastAsia="bg-BG"/>
        </w:rPr>
        <w:footnoteReference w:id="6"/>
      </w:r>
      <w:r w:rsidRPr="00496FD7">
        <w:rPr>
          <w:lang w:eastAsia="bg-BG"/>
        </w:rPr>
        <w:t>;</w:t>
      </w:r>
    </w:p>
    <w:p w:rsidR="007E360C" w:rsidRPr="00496FD7" w:rsidRDefault="007E360C" w:rsidP="00E80472">
      <w:pPr>
        <w:pStyle w:val="ListParagraph"/>
        <w:numPr>
          <w:ilvl w:val="0"/>
          <w:numId w:val="45"/>
        </w:numPr>
        <w:ind w:left="0" w:firstLine="1211"/>
        <w:rPr>
          <w:lang w:eastAsia="bg-BG"/>
        </w:rPr>
      </w:pPr>
      <w:r w:rsidRPr="00496FD7">
        <w:rPr>
          <w:lang w:eastAsia="bg-BG"/>
        </w:rPr>
        <w:t>препоръка за одобрение на проекта или мотивирано обяснение за отхвърлянето на проектното предложение;</w:t>
      </w:r>
    </w:p>
    <w:p w:rsidR="007E360C" w:rsidRDefault="007E360C" w:rsidP="00E80472">
      <w:pPr>
        <w:pStyle w:val="ListParagraph"/>
        <w:numPr>
          <w:ilvl w:val="0"/>
          <w:numId w:val="45"/>
        </w:numPr>
        <w:ind w:left="0" w:firstLine="1211"/>
        <w:rPr>
          <w:lang w:eastAsia="bg-BG"/>
        </w:rPr>
      </w:pPr>
      <w:r w:rsidRPr="00496FD7">
        <w:rPr>
          <w:lang w:eastAsia="bg-BG"/>
        </w:rPr>
        <w:t>подписи на членовете на оценителната комисия. Когато член на комисията е против взетото решение, той подписва доклада с особено мнение и писмено излага мотивите си.</w:t>
      </w:r>
    </w:p>
    <w:p w:rsidR="00782956" w:rsidRDefault="00782956" w:rsidP="00782956">
      <w:pPr>
        <w:rPr>
          <w:lang w:eastAsia="bg-BG"/>
        </w:rPr>
      </w:pPr>
    </w:p>
    <w:p w:rsidR="00782956" w:rsidRDefault="00782956" w:rsidP="00703EB6">
      <w:pPr>
        <w:ind w:firstLine="567"/>
        <w:rPr>
          <w:lang w:eastAsia="bg-BG"/>
        </w:rPr>
      </w:pPr>
      <w:r w:rsidRPr="00782956">
        <w:rPr>
          <w:b/>
          <w:u w:val="single"/>
          <w:lang w:eastAsia="bg-BG"/>
        </w:rPr>
        <w:t>При процедура на подбор</w:t>
      </w:r>
    </w:p>
    <w:p w:rsidR="00782956" w:rsidRDefault="00782956" w:rsidP="00703EB6">
      <w:pPr>
        <w:ind w:firstLine="567"/>
        <w:rPr>
          <w:lang w:eastAsia="bg-BG"/>
        </w:rPr>
      </w:pPr>
      <w:r>
        <w:rPr>
          <w:lang w:eastAsia="bg-BG"/>
        </w:rPr>
        <w:t>Съгласно ч</w:t>
      </w:r>
      <w:r w:rsidRPr="00782956">
        <w:rPr>
          <w:lang w:eastAsia="bg-BG"/>
        </w:rPr>
        <w:t>л. 34.</w:t>
      </w:r>
      <w:r>
        <w:rPr>
          <w:lang w:eastAsia="bg-BG"/>
        </w:rPr>
        <w:t>, ал. 1 от ЗУСЕФСУ,</w:t>
      </w:r>
      <w:r w:rsidRPr="00782956">
        <w:rPr>
          <w:lang w:eastAsia="bg-BG"/>
        </w:rPr>
        <w:t xml:space="preserve"> </w:t>
      </w:r>
      <w:r>
        <w:rPr>
          <w:lang w:eastAsia="bg-BG"/>
        </w:rPr>
        <w:t>в</w:t>
      </w:r>
      <w:r w:rsidRPr="00782956">
        <w:rPr>
          <w:lang w:eastAsia="bg-BG"/>
        </w:rPr>
        <w:t xml:space="preserve">ъз основа на извършената проверка за административно съответствие и допустимост комисията по чл. 33 </w:t>
      </w:r>
      <w:r>
        <w:rPr>
          <w:lang w:eastAsia="bg-BG"/>
        </w:rPr>
        <w:t>от ЗУСЕФСУ</w:t>
      </w:r>
      <w:r w:rsidRPr="00782956">
        <w:rPr>
          <w:lang w:eastAsia="bg-BG"/>
        </w:rPr>
        <w:t xml:space="preserve"> изготвя списък на проектните предложения, които не се допускат до техническа и финансова оценка. В списъка се посочват и основанията за недопускане. Списъкът се публикува на интернет страницата на съответната програма и в ИСУН, а за недопускането се съобщава на всеки от кандидатите, включени в него, съответно по реда на чл. 22, ал. 3 или 4</w:t>
      </w:r>
      <w:r>
        <w:rPr>
          <w:lang w:eastAsia="bg-BG"/>
        </w:rPr>
        <w:t xml:space="preserve"> от ЗУСЕФСУ</w:t>
      </w:r>
      <w:r w:rsidRPr="00782956">
        <w:rPr>
          <w:lang w:eastAsia="bg-BG"/>
        </w:rPr>
        <w:t>.</w:t>
      </w:r>
    </w:p>
    <w:p w:rsidR="00782956" w:rsidRPr="00782956" w:rsidRDefault="00782956" w:rsidP="00703EB6">
      <w:pPr>
        <w:ind w:firstLine="567"/>
      </w:pPr>
      <w:r w:rsidRPr="00782956">
        <w:t xml:space="preserve">Когато при проверката по </w:t>
      </w:r>
      <w:r>
        <w:rPr>
          <w:lang w:eastAsia="bg-BG"/>
        </w:rPr>
        <w:t>ч</w:t>
      </w:r>
      <w:r w:rsidRPr="00782956">
        <w:rPr>
          <w:lang w:eastAsia="bg-BG"/>
        </w:rPr>
        <w:t>л. 34.</w:t>
      </w:r>
      <w:r>
        <w:rPr>
          <w:lang w:eastAsia="bg-BG"/>
        </w:rPr>
        <w:t>, ал. 1 от ЗУСЕФСУ</w:t>
      </w:r>
      <w:r w:rsidRPr="00782956">
        <w:t xml:space="preserve"> се установи липса на документи и/или друга нередовност, комисията изпраща на кандидата уведомление за установените нередовности и определя разумен срок за тяхното отстраняване, който не може да бъде по-кратък от една седмица. Уведомлението съдържа и информация, че неотстраняването на нередовностите в срок може да доведе до прекратяване на производството по отношение на кандидата. Отстраняването на нередовностите не може да води до подобряване на качеството на проектното предложение.</w:t>
      </w:r>
    </w:p>
    <w:p w:rsidR="00782956" w:rsidRPr="00782956" w:rsidRDefault="00782956" w:rsidP="00782956">
      <w:pPr>
        <w:ind w:firstLine="567"/>
      </w:pPr>
      <w:r w:rsidRPr="00782956">
        <w:t xml:space="preserve">Кандидат, чието проектно предложение е включено в списъка по </w:t>
      </w:r>
      <w:r>
        <w:rPr>
          <w:lang w:eastAsia="bg-BG"/>
        </w:rPr>
        <w:t>ч</w:t>
      </w:r>
      <w:r w:rsidRPr="00782956">
        <w:rPr>
          <w:lang w:eastAsia="bg-BG"/>
        </w:rPr>
        <w:t>л. 34.</w:t>
      </w:r>
      <w:r>
        <w:rPr>
          <w:lang w:eastAsia="bg-BG"/>
        </w:rPr>
        <w:t>, ал. 1 от ЗУСЕФСУ</w:t>
      </w:r>
      <w:r w:rsidRPr="00782956">
        <w:t>, може писмено да възрази пред ръководителя на управляващия орган в едноседмичен срок от съобщаването.</w:t>
      </w:r>
    </w:p>
    <w:p w:rsidR="00782956" w:rsidRPr="00782956" w:rsidRDefault="00782956" w:rsidP="00782956">
      <w:pPr>
        <w:ind w:firstLine="567"/>
      </w:pPr>
      <w:r w:rsidRPr="00782956">
        <w:lastRenderedPageBreak/>
        <w:t xml:space="preserve">Ръководителят на управляващия орган </w:t>
      </w:r>
      <w:r>
        <w:t xml:space="preserve">на ПТС </w:t>
      </w:r>
      <w:r w:rsidRPr="00782956">
        <w:t>се произнася по основателността на възражението в едноседмичен срок от неговото получаване, като:</w:t>
      </w:r>
    </w:p>
    <w:p w:rsidR="00782956" w:rsidRPr="00782956" w:rsidRDefault="00782956" w:rsidP="00782956">
      <w:pPr>
        <w:ind w:firstLine="567"/>
      </w:pPr>
      <w:r w:rsidRPr="00782956">
        <w:t>1. връща проектното предложение за техническа и финансова оценка;</w:t>
      </w:r>
    </w:p>
    <w:p w:rsidR="00782956" w:rsidRPr="00782956" w:rsidRDefault="00782956" w:rsidP="00782956">
      <w:pPr>
        <w:ind w:firstLine="567"/>
      </w:pPr>
      <w:r w:rsidRPr="00782956">
        <w:t>2. прекратява производството по отношение на кандидата.</w:t>
      </w:r>
    </w:p>
    <w:p w:rsidR="00782956" w:rsidRPr="00782956" w:rsidRDefault="00782956" w:rsidP="00782956">
      <w:pPr>
        <w:ind w:firstLine="567"/>
      </w:pPr>
      <w:r w:rsidRPr="00782956">
        <w:t xml:space="preserve">Ръководителят на управляващия орган </w:t>
      </w:r>
      <w:r>
        <w:t xml:space="preserve">на ПТС </w:t>
      </w:r>
      <w:r w:rsidRPr="00782956">
        <w:t xml:space="preserve">прекратява производството по отношение на кандидат, чието проектно предложение е включено в списъка по </w:t>
      </w:r>
      <w:r>
        <w:rPr>
          <w:lang w:eastAsia="bg-BG"/>
        </w:rPr>
        <w:t>ч</w:t>
      </w:r>
      <w:r w:rsidRPr="00782956">
        <w:rPr>
          <w:lang w:eastAsia="bg-BG"/>
        </w:rPr>
        <w:t>л. 34.</w:t>
      </w:r>
      <w:r>
        <w:rPr>
          <w:lang w:eastAsia="bg-BG"/>
        </w:rPr>
        <w:t>, ал. 1 от ЗУСЕФСУ</w:t>
      </w:r>
      <w:r w:rsidRPr="00782956">
        <w:t xml:space="preserve"> и той не е подал възражение в срока и по реда на </w:t>
      </w:r>
      <w:r>
        <w:rPr>
          <w:lang w:eastAsia="bg-BG"/>
        </w:rPr>
        <w:t>ч</w:t>
      </w:r>
      <w:r w:rsidRPr="00782956">
        <w:rPr>
          <w:lang w:eastAsia="bg-BG"/>
        </w:rPr>
        <w:t>л. 34.</w:t>
      </w:r>
      <w:r>
        <w:rPr>
          <w:lang w:eastAsia="bg-BG"/>
        </w:rPr>
        <w:t>, ал. 3 от ЗУСЕФСУ</w:t>
      </w:r>
      <w:r w:rsidRPr="00782956">
        <w:t xml:space="preserve"> Актът за прекратяване на производството се издава в двуседмичен срок от съобщаването на кандидата за недопускането му, съответно по реда на чл. 22, ал. 3 или 4</w:t>
      </w:r>
      <w:r>
        <w:t xml:space="preserve"> от ЗУСЕФСУ</w:t>
      </w:r>
      <w:r w:rsidRPr="00782956">
        <w:t>.</w:t>
      </w:r>
    </w:p>
    <w:p w:rsidR="00782956" w:rsidRDefault="00782956" w:rsidP="00782956">
      <w:pPr>
        <w:rPr>
          <w:lang w:eastAsia="bg-BG"/>
        </w:rPr>
      </w:pPr>
      <w:r>
        <w:rPr>
          <w:lang w:eastAsia="bg-BG"/>
        </w:rPr>
        <w:t>Въз основа на резултатите оценителната комисия изготвя оценителен доклад, който включва:</w:t>
      </w:r>
    </w:p>
    <w:p w:rsidR="00782956" w:rsidRDefault="00782956" w:rsidP="00782956">
      <w:pPr>
        <w:rPr>
          <w:lang w:eastAsia="bg-BG"/>
        </w:rPr>
      </w:pPr>
      <w:r>
        <w:rPr>
          <w:lang w:eastAsia="bg-BG"/>
        </w:rPr>
        <w:t>1. списък на предложените за финансиране проектни предложения, подредени по реда на тяхното класиране, и размера на безвъзмездната финансова помощ, която да бъде предоставена за всеки от тях;</w:t>
      </w:r>
    </w:p>
    <w:p w:rsidR="00782956" w:rsidRDefault="00782956" w:rsidP="00782956">
      <w:pPr>
        <w:rPr>
          <w:lang w:eastAsia="bg-BG"/>
        </w:rPr>
      </w:pPr>
      <w:r>
        <w:rPr>
          <w:lang w:eastAsia="bg-BG"/>
        </w:rPr>
        <w:t>2. списък с резервните проектни предложения, подредени по реда на тяхното класиране, които успешно са преминали оценяването, но за които не достига финансиране;</w:t>
      </w:r>
    </w:p>
    <w:p w:rsidR="00782956" w:rsidRDefault="00782956" w:rsidP="00782956">
      <w:pPr>
        <w:rPr>
          <w:lang w:eastAsia="bg-BG"/>
        </w:rPr>
      </w:pPr>
      <w:r>
        <w:rPr>
          <w:lang w:eastAsia="bg-BG"/>
        </w:rPr>
        <w:t>3. списък на предложените за отхвърляне проектни предложения и основанието за отхвърлянето им.</w:t>
      </w:r>
    </w:p>
    <w:p w:rsidR="00782956" w:rsidRPr="00496FD7" w:rsidRDefault="00782956" w:rsidP="00782956">
      <w:pPr>
        <w:rPr>
          <w:lang w:eastAsia="bg-BG"/>
        </w:rPr>
      </w:pPr>
    </w:p>
    <w:p w:rsidR="007E360C" w:rsidRPr="00496FD7" w:rsidRDefault="007E360C" w:rsidP="00E80472">
      <w:pPr>
        <w:pStyle w:val="ListParagraph"/>
        <w:numPr>
          <w:ilvl w:val="0"/>
          <w:numId w:val="44"/>
        </w:numPr>
        <w:ind w:left="0" w:firstLine="851"/>
      </w:pPr>
      <w:r w:rsidRPr="00496FD7">
        <w:t xml:space="preserve">Оценителната комисия може да препоръча одобрението на проектното предложение, когато ФК отговаря на всички критерии за административна оценка, оценка за допустимост, техническа и финансова оценка. </w:t>
      </w:r>
    </w:p>
    <w:p w:rsidR="007E360C" w:rsidRPr="00496FD7" w:rsidRDefault="007E360C" w:rsidP="007E360C">
      <w:pPr>
        <w:tabs>
          <w:tab w:val="num" w:pos="1134"/>
        </w:tabs>
        <w:spacing w:before="120" w:after="120"/>
        <w:ind w:firstLine="709"/>
        <w:rPr>
          <w:szCs w:val="24"/>
          <w:lang w:eastAsia="bg-BG"/>
        </w:rPr>
      </w:pPr>
      <w:r w:rsidRPr="00496FD7">
        <w:rPr>
          <w:szCs w:val="24"/>
          <w:lang w:eastAsia="bg-BG"/>
        </w:rPr>
        <w:t>или</w:t>
      </w:r>
    </w:p>
    <w:p w:rsidR="007E360C" w:rsidRPr="00496FD7" w:rsidRDefault="007E360C" w:rsidP="00E80472">
      <w:pPr>
        <w:pStyle w:val="ListParagraph"/>
        <w:numPr>
          <w:ilvl w:val="0"/>
          <w:numId w:val="44"/>
        </w:numPr>
        <w:ind w:left="0" w:firstLine="851"/>
      </w:pPr>
      <w:r w:rsidRPr="00496FD7">
        <w:t>Оценителната комисия може да препоръча одобрението на проекта под условие, когато ФК отговаря на всички критериите за административна оценка, оценка  за допустимост, техническа и финансова оценка, но е установила съществуването на условие, което възпрепятства вземането на решение за предоставяне на БФП при пълно съответствие с ФК. В този случай се посочва конкретно специалното/ите условие/я за предоставяне на БФП по проекта.</w:t>
      </w:r>
    </w:p>
    <w:p w:rsidR="007E360C" w:rsidRPr="00496FD7" w:rsidRDefault="007E360C" w:rsidP="007E360C">
      <w:pPr>
        <w:tabs>
          <w:tab w:val="num" w:pos="1134"/>
        </w:tabs>
        <w:spacing w:before="120" w:after="120"/>
        <w:ind w:firstLine="709"/>
        <w:rPr>
          <w:szCs w:val="24"/>
          <w:lang w:eastAsia="bg-BG"/>
        </w:rPr>
      </w:pPr>
      <w:r w:rsidRPr="00496FD7">
        <w:rPr>
          <w:szCs w:val="24"/>
          <w:lang w:eastAsia="bg-BG"/>
        </w:rPr>
        <w:t>или</w:t>
      </w:r>
    </w:p>
    <w:p w:rsidR="007E360C" w:rsidRPr="00496FD7" w:rsidRDefault="007E360C" w:rsidP="00E80472">
      <w:pPr>
        <w:pStyle w:val="ListParagraph"/>
        <w:numPr>
          <w:ilvl w:val="0"/>
          <w:numId w:val="44"/>
        </w:numPr>
        <w:ind w:left="0" w:firstLine="851"/>
      </w:pPr>
      <w:r w:rsidRPr="00496FD7">
        <w:t xml:space="preserve">Оценителната комисия може да отхвърли проекта, когато ФК не отговаря на един, няколко или на всички критерии за административна оценка, оценка  за допустимост, техническа и финансова оценка. В този случай се мотивирано се обосновава отхвърлянето на формуляра за кандидатстване. </w:t>
      </w:r>
    </w:p>
    <w:p w:rsidR="007E360C" w:rsidRPr="00496FD7" w:rsidRDefault="007E360C" w:rsidP="00E80472">
      <w:pPr>
        <w:pStyle w:val="ListParagraph"/>
        <w:numPr>
          <w:ilvl w:val="0"/>
          <w:numId w:val="44"/>
        </w:numPr>
        <w:ind w:left="0" w:firstLine="851"/>
      </w:pPr>
      <w:r w:rsidRPr="00496FD7">
        <w:t xml:space="preserve">В </w:t>
      </w:r>
      <w:r w:rsidR="00994F44">
        <w:t xml:space="preserve">случаите на ревизиране на ФК </w:t>
      </w:r>
      <w:r w:rsidRPr="00496FD7">
        <w:t xml:space="preserve">при оценка на </w:t>
      </w:r>
      <w:r w:rsidR="00BE6599" w:rsidRPr="00496FD7">
        <w:t>инвестиционни</w:t>
      </w:r>
      <w:r w:rsidR="00994F44">
        <w:t xml:space="preserve"> </w:t>
      </w:r>
      <w:r w:rsidRPr="00496FD7">
        <w:t xml:space="preserve">проекти срокът за извършване на оценката от оценителната комисия спира да тече до датата на отстраняване на непълноти и/или нередовности.  </w:t>
      </w:r>
    </w:p>
    <w:p w:rsidR="007E360C" w:rsidRPr="00496FD7" w:rsidRDefault="007E360C" w:rsidP="00E80472">
      <w:pPr>
        <w:pStyle w:val="ListParagraph"/>
        <w:numPr>
          <w:ilvl w:val="0"/>
          <w:numId w:val="44"/>
        </w:numPr>
        <w:ind w:left="0" w:firstLine="851"/>
      </w:pPr>
      <w:r w:rsidRPr="00496FD7">
        <w:t>В случай, че срокът за приключване на работа на оценителната комисия, по решението на ръководителя на УО, е изтекъл оценителната комисия трябва да приключи своята работа до 5 (пет) работни дни от дата на представяне на последния ревизиран вариант на ФК.</w:t>
      </w:r>
    </w:p>
    <w:p w:rsidR="007E360C" w:rsidRPr="00496FD7" w:rsidRDefault="007E360C" w:rsidP="00E80472">
      <w:pPr>
        <w:pStyle w:val="ListParagraph"/>
        <w:numPr>
          <w:ilvl w:val="0"/>
          <w:numId w:val="44"/>
        </w:numPr>
        <w:ind w:left="0" w:firstLine="851"/>
      </w:pPr>
      <w:r w:rsidRPr="00496FD7">
        <w:lastRenderedPageBreak/>
        <w:t>Докладът на оценителната комисия се изготвя от членовете в срок три/ един месец/а от датата на подаване на проектното предложение/ бюджетна линия и се предоставя за подпис и одобрение от председателя на оценителната комисия, който го предава на началника на отдел „Програмиране”.</w:t>
      </w:r>
    </w:p>
    <w:p w:rsidR="007E360C" w:rsidRPr="00496FD7" w:rsidRDefault="007E360C" w:rsidP="00E80472">
      <w:pPr>
        <w:pStyle w:val="ListParagraph"/>
        <w:numPr>
          <w:ilvl w:val="0"/>
          <w:numId w:val="44"/>
        </w:numPr>
        <w:ind w:left="0" w:firstLine="851"/>
      </w:pPr>
      <w:r w:rsidRPr="00496FD7">
        <w:t xml:space="preserve">След получаване на оценителния доклад началникът на отдел „Програмиране” извършва проверка на процедурата за оценка на ФК, като се запознава с оценения ФК, доклада с отразени резултати от оценителните таблици на оценителите, контролни листа и всички документи свързани с процеса на извършване на оценката му за извършване на проверка на процедурата и попълва Контролен лист - </w:t>
      </w:r>
      <w:hyperlink r:id="rId65" w:tooltip="Контролен лист за проверка на процедурата на извършена оценка на проектно предложение" w:history="1">
        <w:r w:rsidRPr="00496FD7">
          <w:rPr>
            <w:rStyle w:val="Hyperlink"/>
            <w:i/>
          </w:rPr>
          <w:t>Приложение № 3.0</w:t>
        </w:r>
        <w:r w:rsidR="00994F44">
          <w:rPr>
            <w:rStyle w:val="Hyperlink"/>
            <w:i/>
          </w:rPr>
          <w:t>3.5</w:t>
        </w:r>
      </w:hyperlink>
      <w:r w:rsidRPr="00496FD7">
        <w:t xml:space="preserve"> в ИСУН 2020.</w:t>
      </w:r>
    </w:p>
    <w:p w:rsidR="007E360C" w:rsidRPr="00496FD7" w:rsidRDefault="007E360C" w:rsidP="007E360C">
      <w:r w:rsidRPr="00496FD7">
        <w:rPr>
          <w:i/>
        </w:rPr>
        <w:t>Срок за изпълнение:</w:t>
      </w:r>
      <w:r w:rsidRPr="00496FD7">
        <w:t xml:space="preserve"> До 5 работни дни от представянето на документите</w:t>
      </w:r>
      <w:r w:rsidR="00703EB6">
        <w:t>.</w:t>
      </w:r>
    </w:p>
    <w:p w:rsidR="007E360C" w:rsidRPr="00496FD7" w:rsidRDefault="007E360C" w:rsidP="007E360C">
      <w:pPr>
        <w:rPr>
          <w:b/>
        </w:rPr>
      </w:pPr>
    </w:p>
    <w:p w:rsidR="007E360C" w:rsidRPr="00496FD7" w:rsidRDefault="007E360C" w:rsidP="00E80472">
      <w:pPr>
        <w:pStyle w:val="ListParagraph"/>
        <w:numPr>
          <w:ilvl w:val="0"/>
          <w:numId w:val="44"/>
        </w:numPr>
        <w:ind w:left="0" w:firstLine="851"/>
      </w:pPr>
      <w:r w:rsidRPr="00496FD7">
        <w:t>В контролния лист се отчита получено ли е окончателното официално становище за завършеност на проекта от страна на JASPERS, в случаите когато проектът е включен в годишния план за действие JASPERS за годината в която се извършва оценката.</w:t>
      </w:r>
    </w:p>
    <w:p w:rsidR="007E360C" w:rsidRPr="00496FD7" w:rsidRDefault="007E360C" w:rsidP="00E80472">
      <w:pPr>
        <w:pStyle w:val="ListParagraph"/>
        <w:numPr>
          <w:ilvl w:val="0"/>
          <w:numId w:val="44"/>
        </w:numPr>
        <w:ind w:left="0" w:firstLine="851"/>
      </w:pPr>
      <w:r w:rsidRPr="00496FD7">
        <w:t>При одобрението на доклада на оценителната комисия, всеки съгласуващ  може да постъпи по следния начин:</w:t>
      </w:r>
    </w:p>
    <w:p w:rsidR="007E360C" w:rsidRPr="00496FD7" w:rsidRDefault="007E360C" w:rsidP="00E80472">
      <w:pPr>
        <w:pStyle w:val="ListParagraph"/>
        <w:numPr>
          <w:ilvl w:val="0"/>
          <w:numId w:val="46"/>
        </w:numPr>
        <w:rPr>
          <w:lang w:eastAsia="bg-BG"/>
        </w:rPr>
      </w:pPr>
      <w:r w:rsidRPr="00496FD7">
        <w:rPr>
          <w:lang w:eastAsia="bg-BG"/>
        </w:rPr>
        <w:t>да одобри доклада, като съгласува предложението на оценителната комисия  за предоставяне на БФП или</w:t>
      </w:r>
    </w:p>
    <w:p w:rsidR="007E360C" w:rsidRPr="00496FD7" w:rsidRDefault="007E360C" w:rsidP="00E80472">
      <w:pPr>
        <w:pStyle w:val="ListParagraph"/>
        <w:numPr>
          <w:ilvl w:val="0"/>
          <w:numId w:val="46"/>
        </w:numPr>
        <w:rPr>
          <w:lang w:eastAsia="bg-BG"/>
        </w:rPr>
      </w:pPr>
      <w:r w:rsidRPr="00496FD7">
        <w:rPr>
          <w:lang w:eastAsia="bg-BG"/>
        </w:rPr>
        <w:t>да върне обратно доклада, с указания за корекция и/или преразглеждане от страна на членовете на оценителната комисия като посочи основания за това.</w:t>
      </w:r>
    </w:p>
    <w:p w:rsidR="007E360C" w:rsidRPr="00496FD7" w:rsidRDefault="007E360C" w:rsidP="00E80472">
      <w:pPr>
        <w:pStyle w:val="ListParagraph"/>
        <w:numPr>
          <w:ilvl w:val="0"/>
          <w:numId w:val="44"/>
        </w:numPr>
        <w:ind w:left="0" w:firstLine="851"/>
      </w:pPr>
      <w:r w:rsidRPr="00496FD7">
        <w:t xml:space="preserve">Одобрението на доклада се извършва в срок до 5 работни дни за всеки съгласуващ и в следния порядък: </w:t>
      </w:r>
    </w:p>
    <w:p w:rsidR="007E360C" w:rsidRPr="00496FD7" w:rsidRDefault="007E360C" w:rsidP="00E80472">
      <w:pPr>
        <w:pStyle w:val="ListParagraph"/>
        <w:numPr>
          <w:ilvl w:val="0"/>
          <w:numId w:val="47"/>
        </w:numPr>
        <w:rPr>
          <w:lang w:eastAsia="bg-BG"/>
        </w:rPr>
      </w:pPr>
      <w:r w:rsidRPr="00496FD7">
        <w:rPr>
          <w:lang w:eastAsia="bg-BG"/>
        </w:rPr>
        <w:t>началника на отдел „Програмиране”, дирекция КПП;</w:t>
      </w:r>
    </w:p>
    <w:p w:rsidR="007E360C" w:rsidRPr="00496FD7" w:rsidRDefault="007E360C" w:rsidP="00E80472">
      <w:pPr>
        <w:pStyle w:val="ListParagraph"/>
        <w:numPr>
          <w:ilvl w:val="0"/>
          <w:numId w:val="47"/>
        </w:numPr>
        <w:rPr>
          <w:lang w:eastAsia="bg-BG"/>
        </w:rPr>
      </w:pPr>
      <w:r w:rsidRPr="00496FD7">
        <w:rPr>
          <w:lang w:eastAsia="bg-BG"/>
        </w:rPr>
        <w:t>директора на дирекция КПП (</w:t>
      </w:r>
      <w:r w:rsidRPr="00496FD7">
        <w:rPr>
          <w:i/>
          <w:lang w:eastAsia="bg-BG"/>
        </w:rPr>
        <w:t>не е приложимо когато директорът е и ръководител на УО</w:t>
      </w:r>
      <w:r w:rsidRPr="00496FD7">
        <w:rPr>
          <w:lang w:eastAsia="bg-BG"/>
        </w:rPr>
        <w:t>);</w:t>
      </w:r>
    </w:p>
    <w:p w:rsidR="007E360C" w:rsidRPr="00496FD7" w:rsidRDefault="007E360C" w:rsidP="00E80472">
      <w:pPr>
        <w:pStyle w:val="ListParagraph"/>
        <w:numPr>
          <w:ilvl w:val="0"/>
          <w:numId w:val="44"/>
        </w:numPr>
        <w:ind w:left="0" w:firstLine="851"/>
      </w:pPr>
      <w:r w:rsidRPr="00496FD7">
        <w:t>Оценителният доклад (</w:t>
      </w:r>
      <w:hyperlink r:id="rId66" w:tooltip="Доклад за извършена оценка на проектно предложение" w:history="1">
        <w:r w:rsidRPr="00496FD7">
          <w:rPr>
            <w:rStyle w:val="Hyperlink"/>
            <w:i/>
          </w:rPr>
          <w:t>Приложение № 3.0</w:t>
        </w:r>
      </w:hyperlink>
      <w:r w:rsidR="00994F44">
        <w:rPr>
          <w:rStyle w:val="Hyperlink"/>
          <w:i/>
        </w:rPr>
        <w:t>5</w:t>
      </w:r>
      <w:r w:rsidRPr="00496FD7">
        <w:t>), с отразени резултати от оценителните таблици на оценителите от ИСУН 2020, включително контролни листа попълнени в ИСУН 2020 (</w:t>
      </w:r>
      <w:hyperlink r:id="rId67" w:tooltip="Контролен лист за извършена проверка в ИСУН за липса на двойно финансиране" w:history="1">
        <w:r w:rsidRPr="00496FD7">
          <w:rPr>
            <w:rStyle w:val="Hyperlink"/>
            <w:i/>
          </w:rPr>
          <w:t>Приложение № 3.0</w:t>
        </w:r>
        <w:r w:rsidR="00994F44">
          <w:rPr>
            <w:rStyle w:val="Hyperlink"/>
            <w:i/>
          </w:rPr>
          <w:t>3.</w:t>
        </w:r>
      </w:hyperlink>
      <w:r w:rsidR="00994F44">
        <w:rPr>
          <w:rStyle w:val="Hyperlink"/>
          <w:i/>
        </w:rPr>
        <w:t>1</w:t>
      </w:r>
      <w:r w:rsidRPr="00496FD7">
        <w:rPr>
          <w:b/>
          <w:i/>
        </w:rPr>
        <w:t xml:space="preserve">, </w:t>
      </w:r>
      <w:hyperlink r:id="rId68" w:tooltip="Контролен лист за извършена проверка в ИСУН за липса на двойно финансиране" w:history="1">
        <w:r w:rsidR="00994F44" w:rsidRPr="00994F44">
          <w:rPr>
            <w:rStyle w:val="Hyperlink"/>
            <w:i/>
          </w:rPr>
          <w:t>Приложение № 3.03.2</w:t>
        </w:r>
      </w:hyperlink>
      <w:r w:rsidRPr="00994F44">
        <w:rPr>
          <w:b/>
          <w:i/>
        </w:rPr>
        <w:t xml:space="preserve"> и</w:t>
      </w:r>
      <w:r w:rsidR="00994F44" w:rsidRPr="00994F44">
        <w:rPr>
          <w:b/>
          <w:i/>
        </w:rPr>
        <w:t>ли</w:t>
      </w:r>
      <w:r w:rsidRPr="00994F44">
        <w:rPr>
          <w:b/>
          <w:i/>
        </w:rPr>
        <w:t xml:space="preserve"> </w:t>
      </w:r>
      <w:hyperlink r:id="rId69" w:tooltip="Контролен лист за извършена проверка в ИСУН за липса на двойно финансиране" w:history="1">
        <w:r w:rsidR="00994F44" w:rsidRPr="00994F44">
          <w:rPr>
            <w:rStyle w:val="Hyperlink"/>
            <w:i/>
          </w:rPr>
          <w:t>Приложение № 3.03.</w:t>
        </w:r>
      </w:hyperlink>
      <w:r w:rsidR="00994F44" w:rsidRPr="00994F44">
        <w:rPr>
          <w:rStyle w:val="Hyperlink"/>
          <w:i/>
        </w:rPr>
        <w:t>3</w:t>
      </w:r>
      <w:r w:rsidRPr="00994F44">
        <w:rPr>
          <w:b/>
          <w:i/>
        </w:rPr>
        <w:t xml:space="preserve">, </w:t>
      </w:r>
      <w:hyperlink r:id="rId70" w:tooltip="Контролен лист за извършена проверка в ИСУН за липса на двойно финансиране" w:history="1">
        <w:r w:rsidR="001C7A24" w:rsidRPr="00994F44">
          <w:rPr>
            <w:rStyle w:val="Hyperlink"/>
            <w:i/>
          </w:rPr>
          <w:t>Приложение № 3.03.</w:t>
        </w:r>
      </w:hyperlink>
      <w:r w:rsidR="001C7A24">
        <w:rPr>
          <w:rStyle w:val="Hyperlink"/>
          <w:i/>
        </w:rPr>
        <w:t>4</w:t>
      </w:r>
      <w:r w:rsidRPr="00994F44">
        <w:t>) и всички други докум</w:t>
      </w:r>
      <w:r w:rsidRPr="00496FD7">
        <w:t xml:space="preserve">енти, свързани с процеса на извършване на оценката му, включително попълнения контролен лист - </w:t>
      </w:r>
      <w:hyperlink r:id="rId71" w:tooltip="Контролен лист за проверка на процедурата на извършена оценка на проектно предложение" w:history="1">
        <w:r w:rsidRPr="00496FD7">
          <w:rPr>
            <w:rStyle w:val="Hyperlink"/>
            <w:i/>
          </w:rPr>
          <w:t>Приложение № 3.</w:t>
        </w:r>
        <w:r w:rsidR="00994F44">
          <w:rPr>
            <w:rStyle w:val="Hyperlink"/>
            <w:i/>
          </w:rPr>
          <w:t>03.</w:t>
        </w:r>
        <w:r w:rsidRPr="00496FD7">
          <w:rPr>
            <w:rStyle w:val="Hyperlink"/>
            <w:i/>
          </w:rPr>
          <w:t>0</w:t>
        </w:r>
      </w:hyperlink>
      <w:r w:rsidR="00994F44">
        <w:rPr>
          <w:rStyle w:val="Hyperlink"/>
          <w:i/>
        </w:rPr>
        <w:t>5</w:t>
      </w:r>
      <w:r w:rsidRPr="00496FD7">
        <w:t xml:space="preserve"> и съгласувани от директора на дирекция КПП в ИСУН 2020 (</w:t>
      </w:r>
      <w:r w:rsidRPr="00496FD7">
        <w:rPr>
          <w:i/>
        </w:rPr>
        <w:t>не е приложимо когато директорът е и ръководител на УО</w:t>
      </w:r>
      <w:r w:rsidRPr="00496FD7">
        <w:t>), заедно с всички документи, изготвени от оценителната комисия, които не са налични в ИСУН 2020 се представят на Ръководителя на УО на ПТС за взимане на решение за одобрение на оценителния доклад и пред</w:t>
      </w:r>
      <w:r w:rsidR="00212B67" w:rsidRPr="00496FD7">
        <w:t>оставяне/ отказ на БФП</w:t>
      </w:r>
      <w:r w:rsidRPr="00496FD7">
        <w:t>.</w:t>
      </w:r>
    </w:p>
    <w:p w:rsidR="007E360C" w:rsidRPr="00496FD7" w:rsidRDefault="007E360C" w:rsidP="007E360C">
      <w:pPr>
        <w:rPr>
          <w:lang w:eastAsia="bg-BG"/>
        </w:rPr>
      </w:pPr>
      <w:r w:rsidRPr="00496FD7">
        <w:rPr>
          <w:i/>
          <w:lang w:eastAsia="bg-BG"/>
        </w:rPr>
        <w:t>Срок за изпълнение:</w:t>
      </w:r>
      <w:r w:rsidRPr="00496FD7">
        <w:rPr>
          <w:lang w:eastAsia="bg-BG"/>
        </w:rPr>
        <w:t xml:space="preserve"> До 5 работни дни от представянето на документите</w:t>
      </w:r>
    </w:p>
    <w:p w:rsidR="007E360C" w:rsidRPr="00496FD7" w:rsidRDefault="007E360C" w:rsidP="00E80472">
      <w:pPr>
        <w:pStyle w:val="ListParagraph"/>
        <w:numPr>
          <w:ilvl w:val="0"/>
          <w:numId w:val="44"/>
        </w:numPr>
        <w:ind w:left="0" w:firstLine="851"/>
      </w:pPr>
      <w:r w:rsidRPr="00496FD7">
        <w:t xml:space="preserve">След одобрението на доклада на хартиен носител, председателят на оценителната комисия създава доклад в ИСУН 2020, като </w:t>
      </w:r>
      <w:r w:rsidRPr="00496FD7">
        <w:rPr>
          <w:color w:val="000000" w:themeColor="text1"/>
        </w:rPr>
        <w:t>прикачва подписания на хартия доклад и в допълнение към него  всички документи изготвени на хартиен носител, свързани с процеса на оценка и проверките направени в ИСУН 2020, които не са налични в ИСУН 2020.</w:t>
      </w:r>
    </w:p>
    <w:p w:rsidR="007E360C" w:rsidRPr="00496FD7" w:rsidRDefault="007E360C" w:rsidP="007E360C">
      <w:pPr>
        <w:ind w:firstLine="0"/>
      </w:pPr>
      <w:r w:rsidRPr="00496FD7">
        <w:rPr>
          <w:color w:val="000000" w:themeColor="text1"/>
        </w:rPr>
        <w:t xml:space="preserve">Тоест следва да бъдат прикачени, </w:t>
      </w:r>
      <w:hyperlink r:id="rId72" w:tooltip="Решение за Оценителна комисия" w:history="1">
        <w:r w:rsidRPr="00496FD7">
          <w:rPr>
            <w:rStyle w:val="Hyperlink"/>
            <w:i/>
          </w:rPr>
          <w:t>Приложение № 3.0</w:t>
        </w:r>
      </w:hyperlink>
      <w:r w:rsidR="001C7A24">
        <w:rPr>
          <w:rStyle w:val="Hyperlink"/>
          <w:i/>
        </w:rPr>
        <w:t>1</w:t>
      </w:r>
      <w:r w:rsidRPr="00496FD7">
        <w:t xml:space="preserve"> - Решение за сформиране на оценителна комисия, Декларации </w:t>
      </w:r>
      <w:hyperlink r:id="rId73" w:tooltip="Декларация за липса на конфликт на интереси и поверителност" w:history="1">
        <w:r w:rsidRPr="00496FD7">
          <w:rPr>
            <w:rStyle w:val="Hyperlink"/>
            <w:i/>
          </w:rPr>
          <w:t>Приложение № 3.0</w:t>
        </w:r>
      </w:hyperlink>
      <w:r w:rsidR="001C7A24">
        <w:rPr>
          <w:rStyle w:val="Hyperlink"/>
          <w:i/>
        </w:rPr>
        <w:t>2</w:t>
      </w:r>
      <w:r w:rsidRPr="00496FD7">
        <w:t xml:space="preserve"> за липса на конфликт на интереси </w:t>
      </w:r>
      <w:r w:rsidRPr="00496FD7">
        <w:lastRenderedPageBreak/>
        <w:t xml:space="preserve">на членовете на оценителната комисия, Декларации </w:t>
      </w:r>
      <w:hyperlink r:id="rId74" w:tooltip="Декларация за липса на конфликт на интереси и поверителност" w:history="1">
        <w:r w:rsidRPr="00496FD7">
          <w:rPr>
            <w:rStyle w:val="Hyperlink"/>
            <w:i/>
          </w:rPr>
          <w:t>Приложение № 3.0</w:t>
        </w:r>
      </w:hyperlink>
      <w:r w:rsidR="001C7A24">
        <w:rPr>
          <w:rStyle w:val="Hyperlink"/>
          <w:i/>
        </w:rPr>
        <w:t>2</w:t>
      </w:r>
      <w:r w:rsidRPr="00496FD7">
        <w:t xml:space="preserve"> за липса на конфликт на интереси на началника на отдел „Програмиране“, директора на дирекция „Координация на програми и проекти“ и Ръководителя на УО на ПТС (</w:t>
      </w:r>
      <w:r w:rsidRPr="00496FD7">
        <w:rPr>
          <w:i/>
        </w:rPr>
        <w:t>не е приложимо когато директорът е и Ръководител на УО</w:t>
      </w:r>
      <w:r w:rsidRPr="00496FD7">
        <w:t xml:space="preserve">), уведомление до бенефициента за одобряване/ отхвърляне на проектното предложение. </w:t>
      </w:r>
    </w:p>
    <w:p w:rsidR="00212B67" w:rsidRPr="00496FD7" w:rsidRDefault="00212B67" w:rsidP="007E360C">
      <w:pPr>
        <w:rPr>
          <w:i/>
          <w:lang w:eastAsia="bg-BG"/>
        </w:rPr>
      </w:pPr>
    </w:p>
    <w:p w:rsidR="007E360C" w:rsidRPr="00496FD7" w:rsidRDefault="007E360C" w:rsidP="007E360C">
      <w:pPr>
        <w:rPr>
          <w:lang w:eastAsia="bg-BG"/>
        </w:rPr>
      </w:pPr>
      <w:r w:rsidRPr="00496FD7">
        <w:rPr>
          <w:i/>
          <w:lang w:eastAsia="bg-BG"/>
        </w:rPr>
        <w:t>Срок за изпълнение:</w:t>
      </w:r>
      <w:r w:rsidRPr="00496FD7">
        <w:rPr>
          <w:lang w:eastAsia="bg-BG"/>
        </w:rPr>
        <w:t xml:space="preserve"> До 3 работни дни от одобрението на доклада на </w:t>
      </w:r>
      <w:r w:rsidR="00A42B03">
        <w:rPr>
          <w:lang w:eastAsia="bg-BG"/>
        </w:rPr>
        <w:t>оценителната комисия от РУО.</w:t>
      </w:r>
    </w:p>
    <w:p w:rsidR="007E360C" w:rsidRPr="00496FD7" w:rsidRDefault="007E360C" w:rsidP="007E360C">
      <w:pPr>
        <w:rPr>
          <w:lang w:eastAsia="bg-BG"/>
        </w:rPr>
      </w:pPr>
    </w:p>
    <w:p w:rsidR="007E360C" w:rsidRPr="00496FD7" w:rsidRDefault="007E360C" w:rsidP="00212B67">
      <w:pPr>
        <w:pStyle w:val="ListParagraph"/>
        <w:numPr>
          <w:ilvl w:val="0"/>
          <w:numId w:val="44"/>
        </w:numPr>
        <w:ind w:left="0" w:firstLine="851"/>
      </w:pPr>
      <w:r w:rsidRPr="00496FD7">
        <w:t xml:space="preserve">За самоконтрол и извършване на проверка за изпълнението задължението по подт. 14) </w:t>
      </w:r>
      <w:r w:rsidRPr="00496FD7">
        <w:rPr>
          <w:color w:val="000000" w:themeColor="text1"/>
        </w:rPr>
        <w:t>председателят</w:t>
      </w:r>
      <w:r w:rsidRPr="00496FD7">
        <w:t xml:space="preserve"> на оценителната сесия, попълва контролен лист </w:t>
      </w:r>
      <w:hyperlink r:id="rId75" w:tooltip="Контролен лист за проверка на приложените документи в ИСУН 2020 относими към извършена оценка на проектно предложение" w:history="1">
        <w:r w:rsidRPr="00496FD7">
          <w:rPr>
            <w:rStyle w:val="Hyperlink"/>
            <w:i/>
          </w:rPr>
          <w:t>Приложение № 3.</w:t>
        </w:r>
      </w:hyperlink>
      <w:r w:rsidR="001C7A24">
        <w:rPr>
          <w:rStyle w:val="Hyperlink"/>
          <w:i/>
        </w:rPr>
        <w:t>03.6</w:t>
      </w:r>
      <w:r w:rsidRPr="00496FD7">
        <w:t>, в ИСУН 2020, след което началника на отдел „Програмиране“ извършва втора проверка в системата. Към контролния лист се прилага справка (Screenshot) от модул „Оценителни сесии“, подмодул „Преглед“,  секция „Документи“ на ИСУН 2020 за документите на хартия и</w:t>
      </w:r>
      <w:r w:rsidR="00212B67" w:rsidRPr="00496FD7">
        <w:t xml:space="preserve"> </w:t>
      </w:r>
      <w:r w:rsidRPr="00496FD7">
        <w:t>справка (Screenshot) от модул „Процедури“, секция „Документи“, поле контролни листа за документите/ контролните листа, които се попълват директно в системата ИСУН.</w:t>
      </w:r>
    </w:p>
    <w:p w:rsidR="007E360C" w:rsidRPr="00496FD7" w:rsidRDefault="007E360C" w:rsidP="007E360C">
      <w:pPr>
        <w:pStyle w:val="ListParagraph"/>
        <w:ind w:left="851" w:firstLine="0"/>
      </w:pPr>
    </w:p>
    <w:p w:rsidR="007E360C" w:rsidRPr="00496FD7" w:rsidRDefault="007E360C" w:rsidP="007E360C">
      <w:pPr>
        <w:pStyle w:val="Style1"/>
      </w:pPr>
      <w:bookmarkStart w:id="235" w:name="_Toc431992216"/>
      <w:bookmarkStart w:id="236" w:name="_Ref413252927"/>
      <w:bookmarkStart w:id="237" w:name="_Toc479775673"/>
      <w:bookmarkStart w:id="238" w:name="_Toc140150226"/>
      <w:bookmarkStart w:id="239" w:name="_Toc152769905"/>
      <w:bookmarkEnd w:id="176"/>
      <w:bookmarkEnd w:id="177"/>
      <w:bookmarkEnd w:id="178"/>
      <w:bookmarkEnd w:id="235"/>
      <w:r w:rsidRPr="00496FD7">
        <w:t>ПРЕДОСТАВЯНЕ НА БЕЗВЪЗМЕЗДНА ФИНАНСОВА ПОМОЩ</w:t>
      </w:r>
      <w:bookmarkEnd w:id="236"/>
      <w:bookmarkEnd w:id="237"/>
      <w:bookmarkEnd w:id="238"/>
      <w:bookmarkEnd w:id="239"/>
    </w:p>
    <w:p w:rsidR="007E360C" w:rsidRPr="00496FD7" w:rsidRDefault="007E360C" w:rsidP="007E360C">
      <w:pPr>
        <w:pStyle w:val="Style2"/>
        <w:rPr>
          <w:lang w:val="bg-BG"/>
        </w:rPr>
      </w:pPr>
      <w:bookmarkStart w:id="240" w:name="_Ref406349202"/>
      <w:bookmarkStart w:id="241" w:name="_Toc479775676"/>
      <w:bookmarkStart w:id="242" w:name="_Toc140150229"/>
      <w:bookmarkStart w:id="243" w:name="_Toc152769906"/>
      <w:bookmarkStart w:id="244" w:name="_Ref395540708"/>
      <w:r w:rsidRPr="00496FD7">
        <w:rPr>
          <w:lang w:val="bg-BG" w:eastAsia="bg-BG"/>
        </w:rPr>
        <w:t>Вземане на Решение на Ръководителя на УО на ПТС за о</w:t>
      </w:r>
      <w:r w:rsidRPr="00496FD7">
        <w:rPr>
          <w:lang w:val="bg-BG"/>
        </w:rPr>
        <w:t>добрение</w:t>
      </w:r>
      <w:r w:rsidR="00A42B03" w:rsidRPr="00A42B03">
        <w:rPr>
          <w:lang w:val="bg-BG"/>
        </w:rPr>
        <w:t xml:space="preserve"> </w:t>
      </w:r>
      <w:r w:rsidR="00A42B03" w:rsidRPr="00496FD7">
        <w:rPr>
          <w:lang w:val="bg-BG"/>
        </w:rPr>
        <w:t xml:space="preserve">на проектно предложение </w:t>
      </w:r>
      <w:r w:rsidRPr="00496FD7">
        <w:rPr>
          <w:lang w:val="bg-BG"/>
        </w:rPr>
        <w:t xml:space="preserve">/ </w:t>
      </w:r>
      <w:r w:rsidR="00A42B03">
        <w:rPr>
          <w:lang w:val="bg-BG"/>
        </w:rPr>
        <w:t>отказ за предоставяне на БФП</w:t>
      </w:r>
      <w:r w:rsidRPr="00496FD7">
        <w:rPr>
          <w:lang w:val="bg-BG"/>
        </w:rPr>
        <w:t xml:space="preserve"> </w:t>
      </w:r>
      <w:bookmarkEnd w:id="240"/>
      <w:bookmarkEnd w:id="241"/>
      <w:bookmarkEnd w:id="242"/>
      <w:bookmarkEnd w:id="243"/>
    </w:p>
    <w:p w:rsidR="007E360C" w:rsidRPr="00496FD7" w:rsidRDefault="00212B67" w:rsidP="00E80472">
      <w:pPr>
        <w:pStyle w:val="ListParagraph"/>
        <w:numPr>
          <w:ilvl w:val="0"/>
          <w:numId w:val="35"/>
        </w:numPr>
        <w:ind w:left="0" w:firstLine="851"/>
      </w:pPr>
      <w:bookmarkStart w:id="245" w:name="_Ref395523728"/>
      <w:r w:rsidRPr="001C7A24">
        <w:t xml:space="preserve">Формулярът </w:t>
      </w:r>
      <w:r w:rsidR="007E360C" w:rsidRPr="001C7A24">
        <w:t xml:space="preserve">за кандидатстване се представят на Ръководителят на УО на ПТС заедно с докладът на оценителната комисия </w:t>
      </w:r>
      <w:r w:rsidR="007E360C" w:rsidRPr="001C7A24">
        <w:rPr>
          <w:b/>
          <w:i/>
        </w:rPr>
        <w:t>(</w:t>
      </w:r>
      <w:hyperlink r:id="rId76" w:tooltip="Доклад за извършена оценка на проектно предложение" w:history="1">
        <w:r w:rsidR="007E360C" w:rsidRPr="001C7A24">
          <w:rPr>
            <w:rStyle w:val="Hyperlink"/>
            <w:i/>
          </w:rPr>
          <w:t>Приложение № 3.0</w:t>
        </w:r>
      </w:hyperlink>
      <w:r w:rsidR="001C7A24" w:rsidRPr="001C7A24">
        <w:rPr>
          <w:rStyle w:val="Hyperlink"/>
          <w:i/>
        </w:rPr>
        <w:t>5</w:t>
      </w:r>
      <w:r w:rsidR="007E360C" w:rsidRPr="001C7A24">
        <w:rPr>
          <w:b/>
          <w:i/>
        </w:rPr>
        <w:t>)</w:t>
      </w:r>
      <w:r w:rsidR="007E360C" w:rsidRPr="001C7A24">
        <w:t>.</w:t>
      </w:r>
      <w:r w:rsidR="00DC2786" w:rsidRPr="001C7A24">
        <w:t xml:space="preserve"> </w:t>
      </w:r>
      <w:r w:rsidR="007E360C" w:rsidRPr="001C7A24">
        <w:t xml:space="preserve">Останалите документи: Контролен лист за липса на двойно финансиране </w:t>
      </w:r>
      <w:r w:rsidR="007E360C" w:rsidRPr="001C7A24">
        <w:rPr>
          <w:b/>
          <w:i/>
        </w:rPr>
        <w:t>(</w:t>
      </w:r>
      <w:hyperlink r:id="rId77" w:tooltip="Контролен лист за извършена проверка в ИСУН за липса на двойно финансиране" w:history="1">
        <w:r w:rsidR="007E360C" w:rsidRPr="001C7A24">
          <w:rPr>
            <w:rStyle w:val="Hyperlink"/>
            <w:i/>
          </w:rPr>
          <w:t>Приложение № 3.0</w:t>
        </w:r>
        <w:r w:rsidR="001C7A24" w:rsidRPr="001C7A24">
          <w:rPr>
            <w:rStyle w:val="Hyperlink"/>
            <w:i/>
          </w:rPr>
          <w:t>3.</w:t>
        </w:r>
      </w:hyperlink>
      <w:r w:rsidR="001C7A24" w:rsidRPr="001C7A24">
        <w:rPr>
          <w:rStyle w:val="Hyperlink"/>
          <w:i/>
        </w:rPr>
        <w:t>4</w:t>
      </w:r>
      <w:r w:rsidR="007E360C" w:rsidRPr="001C7A24">
        <w:rPr>
          <w:b/>
          <w:i/>
        </w:rPr>
        <w:t>)</w:t>
      </w:r>
      <w:r w:rsidR="007E360C" w:rsidRPr="001C7A24">
        <w:t xml:space="preserve">, Контролен лист за проверка за липса на държавни помощи </w:t>
      </w:r>
      <w:r w:rsidR="007E360C" w:rsidRPr="001C7A24">
        <w:rPr>
          <w:b/>
          <w:i/>
        </w:rPr>
        <w:t>(</w:t>
      </w:r>
      <w:hyperlink r:id="rId78" w:tooltip="Контролен лист за предварителна оценка за  определяне наличието на държавна помощ - Тест за държавна помощ - изключения" w:history="1">
        <w:r w:rsidR="007E360C" w:rsidRPr="001C7A24">
          <w:rPr>
            <w:rStyle w:val="Hyperlink"/>
            <w:i/>
          </w:rPr>
          <w:t xml:space="preserve">Приложение № </w:t>
        </w:r>
        <w:r w:rsidR="001C7A24" w:rsidRPr="001C7A24">
          <w:rPr>
            <w:rStyle w:val="Hyperlink"/>
            <w:i/>
          </w:rPr>
          <w:t>3.03</w:t>
        </w:r>
        <w:r w:rsidR="007E360C" w:rsidRPr="001C7A24">
          <w:rPr>
            <w:rStyle w:val="Hyperlink"/>
            <w:i/>
          </w:rPr>
          <w:t>.2</w:t>
        </w:r>
      </w:hyperlink>
      <w:r w:rsidR="007E360C" w:rsidRPr="001C7A24">
        <w:rPr>
          <w:b/>
          <w:i/>
        </w:rPr>
        <w:t xml:space="preserve"> или </w:t>
      </w:r>
      <w:hyperlink r:id="rId79" w:tooltip="Контролен лист за предварителна оценка за определяне на приложим към мярката режим  на съвместима държавна помощ" w:history="1">
        <w:r w:rsidR="007E360C" w:rsidRPr="001C7A24">
          <w:rPr>
            <w:rStyle w:val="Hyperlink"/>
            <w:i/>
          </w:rPr>
          <w:t xml:space="preserve">Приложение № </w:t>
        </w:r>
        <w:r w:rsidR="001C7A24" w:rsidRPr="001C7A24">
          <w:rPr>
            <w:rStyle w:val="Hyperlink"/>
            <w:i/>
          </w:rPr>
          <w:t>3</w:t>
        </w:r>
        <w:r w:rsidR="007E360C" w:rsidRPr="001C7A24">
          <w:rPr>
            <w:rStyle w:val="Hyperlink"/>
            <w:i/>
          </w:rPr>
          <w:t>.03</w:t>
        </w:r>
      </w:hyperlink>
      <w:r w:rsidR="001C7A24" w:rsidRPr="001C7A24">
        <w:rPr>
          <w:rStyle w:val="Hyperlink"/>
          <w:i/>
        </w:rPr>
        <w:t>.3</w:t>
      </w:r>
      <w:r w:rsidR="007E360C" w:rsidRPr="001C7A24">
        <w:rPr>
          <w:b/>
          <w:i/>
        </w:rPr>
        <w:t>)</w:t>
      </w:r>
      <w:r w:rsidR="007E360C" w:rsidRPr="001C7A24">
        <w:t xml:space="preserve"> и Контролен лист на проведената процедура </w:t>
      </w:r>
      <w:r w:rsidR="007E360C" w:rsidRPr="001C7A24">
        <w:rPr>
          <w:b/>
          <w:i/>
        </w:rPr>
        <w:t>(</w:t>
      </w:r>
      <w:hyperlink r:id="rId80" w:history="1">
        <w:r w:rsidR="007E360C" w:rsidRPr="001C7A24">
          <w:rPr>
            <w:rStyle w:val="Hyperlink"/>
            <w:i/>
          </w:rPr>
          <w:t>Приложение № 3.0</w:t>
        </w:r>
        <w:r w:rsidR="001C7A24" w:rsidRPr="001C7A24">
          <w:rPr>
            <w:rStyle w:val="Hyperlink"/>
            <w:i/>
          </w:rPr>
          <w:t>3.5</w:t>
        </w:r>
      </w:hyperlink>
      <w:r w:rsidR="007E360C" w:rsidRPr="001C7A24">
        <w:rPr>
          <w:b/>
          <w:i/>
        </w:rPr>
        <w:t>)</w:t>
      </w:r>
      <w:r w:rsidR="007E360C" w:rsidRPr="001C7A24">
        <w:t xml:space="preserve"> са налични в системата</w:t>
      </w:r>
      <w:r w:rsidR="007E360C" w:rsidRPr="00496FD7">
        <w:t xml:space="preserve"> ИСУН 2020 и при необходимост могат да бъдат разпечатани и приложени към доклада на оценителната комисия </w:t>
      </w:r>
      <w:r w:rsidR="007E360C" w:rsidRPr="00496FD7">
        <w:rPr>
          <w:b/>
          <w:i/>
        </w:rPr>
        <w:t>(</w:t>
      </w:r>
      <w:hyperlink r:id="rId81" w:tooltip="Доклад за извършена оценка на проектно предложение" w:history="1">
        <w:r w:rsidR="007E360C" w:rsidRPr="00496FD7">
          <w:rPr>
            <w:rStyle w:val="Hyperlink"/>
            <w:i/>
          </w:rPr>
          <w:t>Приложение № 3.0</w:t>
        </w:r>
      </w:hyperlink>
      <w:r w:rsidR="001C7A24">
        <w:rPr>
          <w:rStyle w:val="Hyperlink"/>
          <w:i/>
        </w:rPr>
        <w:t>5</w:t>
      </w:r>
      <w:r w:rsidR="007E360C" w:rsidRPr="00496FD7">
        <w:rPr>
          <w:b/>
          <w:i/>
        </w:rPr>
        <w:t>)</w:t>
      </w:r>
      <w:r w:rsidR="007E360C" w:rsidRPr="00496FD7">
        <w:t>.</w:t>
      </w:r>
    </w:p>
    <w:p w:rsidR="007E360C" w:rsidRPr="00496FD7" w:rsidRDefault="007E360C" w:rsidP="00E80472">
      <w:pPr>
        <w:pStyle w:val="ListParagraph"/>
        <w:numPr>
          <w:ilvl w:val="0"/>
          <w:numId w:val="35"/>
        </w:numPr>
        <w:ind w:left="0" w:firstLine="851"/>
      </w:pPr>
      <w:bookmarkStart w:id="246" w:name="_Ref411593439"/>
      <w:r w:rsidRPr="00496FD7">
        <w:t>Ръководителят на УО на ПТС взема мотивирано Решение за:</w:t>
      </w:r>
    </w:p>
    <w:p w:rsidR="007E360C" w:rsidRPr="00496FD7" w:rsidRDefault="007E360C" w:rsidP="007E360C"/>
    <w:bookmarkEnd w:id="245"/>
    <w:bookmarkEnd w:id="246"/>
    <w:p w:rsidR="007E360C" w:rsidRPr="00496FD7" w:rsidRDefault="007E360C" w:rsidP="00E80472">
      <w:pPr>
        <w:numPr>
          <w:ilvl w:val="0"/>
          <w:numId w:val="13"/>
        </w:numPr>
        <w:ind w:left="1134" w:hanging="284"/>
        <w:rPr>
          <w:szCs w:val="24"/>
          <w:lang w:eastAsia="bg-BG"/>
        </w:rPr>
      </w:pPr>
      <w:r w:rsidRPr="00496FD7">
        <w:rPr>
          <w:szCs w:val="24"/>
          <w:lang w:eastAsia="bg-BG"/>
        </w:rPr>
        <w:t>одобрение на доклада на оценителната комисия и предоставяне на безвъзмездна финансова помощ/ одобрение на ФК на първа инстанция/ отхвърляне на проекта;</w:t>
      </w:r>
    </w:p>
    <w:p w:rsidR="007E360C" w:rsidRPr="00496FD7" w:rsidRDefault="007E360C" w:rsidP="007E360C">
      <w:pPr>
        <w:spacing w:after="120"/>
        <w:ind w:left="1134"/>
        <w:rPr>
          <w:szCs w:val="24"/>
          <w:lang w:eastAsia="bg-BG"/>
        </w:rPr>
      </w:pPr>
      <w:r w:rsidRPr="00496FD7">
        <w:rPr>
          <w:szCs w:val="24"/>
          <w:lang w:eastAsia="bg-BG"/>
        </w:rPr>
        <w:t>или</w:t>
      </w:r>
    </w:p>
    <w:p w:rsidR="007E360C" w:rsidRPr="00496FD7" w:rsidRDefault="007E360C" w:rsidP="00E80472">
      <w:pPr>
        <w:numPr>
          <w:ilvl w:val="0"/>
          <w:numId w:val="13"/>
        </w:numPr>
        <w:ind w:left="1134" w:hanging="284"/>
        <w:rPr>
          <w:szCs w:val="24"/>
          <w:lang w:eastAsia="bg-BG"/>
        </w:rPr>
      </w:pPr>
      <w:r w:rsidRPr="00496FD7">
        <w:rPr>
          <w:szCs w:val="24"/>
          <w:lang w:eastAsia="bg-BG"/>
        </w:rPr>
        <w:t>повторна оценка на формуляра за кандидатстване/ финансов план, придружено с обосновка;</w:t>
      </w:r>
    </w:p>
    <w:p w:rsidR="007E360C" w:rsidRPr="00496FD7" w:rsidRDefault="007E360C" w:rsidP="007E360C">
      <w:pPr>
        <w:spacing w:after="120"/>
        <w:ind w:left="1134"/>
        <w:rPr>
          <w:szCs w:val="24"/>
          <w:lang w:eastAsia="bg-BG"/>
        </w:rPr>
      </w:pPr>
      <w:r w:rsidRPr="00496FD7">
        <w:rPr>
          <w:szCs w:val="24"/>
          <w:lang w:eastAsia="bg-BG"/>
        </w:rPr>
        <w:t>или</w:t>
      </w:r>
    </w:p>
    <w:p w:rsidR="007E360C" w:rsidRPr="00496FD7" w:rsidRDefault="007E360C" w:rsidP="00E80472">
      <w:pPr>
        <w:numPr>
          <w:ilvl w:val="0"/>
          <w:numId w:val="13"/>
        </w:numPr>
        <w:ind w:left="1134" w:hanging="284"/>
        <w:rPr>
          <w:szCs w:val="24"/>
          <w:lang w:eastAsia="bg-BG"/>
        </w:rPr>
      </w:pPr>
      <w:r w:rsidRPr="00496FD7">
        <w:rPr>
          <w:szCs w:val="24"/>
          <w:lang w:eastAsia="bg-BG"/>
        </w:rPr>
        <w:t>отменяне на процеса на оценка, придружено с обосновка. В този случай оценителната сесия се анулира в ИСУН 2020 и проектното предложение се оттегля служебно от УО на ПТС или по писмено искане на Бенефициента.</w:t>
      </w:r>
    </w:p>
    <w:p w:rsidR="007E360C" w:rsidRPr="00496FD7" w:rsidRDefault="007E360C" w:rsidP="00E80472">
      <w:pPr>
        <w:pStyle w:val="ListParagraph"/>
        <w:numPr>
          <w:ilvl w:val="0"/>
          <w:numId w:val="35"/>
        </w:numPr>
        <w:ind w:left="0" w:firstLine="851"/>
      </w:pPr>
      <w:r w:rsidRPr="00496FD7">
        <w:t>В случай на връщане на оценителния доклад за повторна оценка, оценителната комисия, като взема предвид основанията за връщане, извършва повторна оценка на проектното п</w:t>
      </w:r>
      <w:r w:rsidR="001C7A24">
        <w:t>редложение и изготвя нов доклад</w:t>
      </w:r>
      <w:r w:rsidRPr="00496FD7">
        <w:t>.</w:t>
      </w:r>
    </w:p>
    <w:p w:rsidR="007E360C" w:rsidRPr="00496FD7" w:rsidRDefault="007E360C" w:rsidP="00E80472">
      <w:pPr>
        <w:pStyle w:val="ListParagraph"/>
        <w:numPr>
          <w:ilvl w:val="0"/>
          <w:numId w:val="35"/>
        </w:numPr>
        <w:ind w:left="0" w:firstLine="851"/>
      </w:pPr>
      <w:r w:rsidRPr="00496FD7">
        <w:lastRenderedPageBreak/>
        <w:t>С одобрение на доклада на оценителната комисия (</w:t>
      </w:r>
      <w:hyperlink r:id="rId82" w:tooltip="Доклад за извършена оценка на проектно предложение" w:history="1">
        <w:r w:rsidRPr="00496FD7">
          <w:rPr>
            <w:rStyle w:val="Hyperlink"/>
            <w:i/>
          </w:rPr>
          <w:t>Приложение № 3.0</w:t>
        </w:r>
      </w:hyperlink>
      <w:r w:rsidR="001C7A24">
        <w:rPr>
          <w:rStyle w:val="Hyperlink"/>
          <w:i/>
        </w:rPr>
        <w:t>5</w:t>
      </w:r>
      <w:r w:rsidRPr="00496FD7">
        <w:t>) се взема Решение за предоставяне на БФП или се отхвърля проектното предложение и се отказва предоставянето на БФП за изпълнение на проекта.</w:t>
      </w:r>
    </w:p>
    <w:p w:rsidR="007E360C" w:rsidRPr="00496FD7" w:rsidRDefault="007E360C" w:rsidP="00E80472">
      <w:pPr>
        <w:pStyle w:val="ListParagraph"/>
        <w:numPr>
          <w:ilvl w:val="0"/>
          <w:numId w:val="35"/>
        </w:numPr>
        <w:ind w:left="0" w:firstLine="851"/>
      </w:pPr>
      <w:r w:rsidRPr="00496FD7">
        <w:t xml:space="preserve">Решението по </w:t>
      </w:r>
      <w:r w:rsidRPr="00496FD7">
        <w:rPr>
          <w:b/>
        </w:rPr>
        <w:t xml:space="preserve">точка </w:t>
      </w:r>
      <w:r w:rsidRPr="00496FD7">
        <w:rPr>
          <w:b/>
        </w:rPr>
        <w:fldChar w:fldCharType="begin"/>
      </w:r>
      <w:r w:rsidRPr="00496FD7">
        <w:rPr>
          <w:b/>
        </w:rPr>
        <w:instrText xml:space="preserve"> REF _Ref411593439 \r \h  \* MERGEFORMAT </w:instrText>
      </w:r>
      <w:r w:rsidRPr="00496FD7">
        <w:rPr>
          <w:b/>
        </w:rPr>
      </w:r>
      <w:r w:rsidRPr="00496FD7">
        <w:rPr>
          <w:b/>
        </w:rPr>
        <w:fldChar w:fldCharType="separate"/>
      </w:r>
      <w:r w:rsidRPr="00496FD7">
        <w:rPr>
          <w:b/>
        </w:rPr>
        <w:t>2)</w:t>
      </w:r>
      <w:r w:rsidRPr="00496FD7">
        <w:rPr>
          <w:b/>
        </w:rPr>
        <w:fldChar w:fldCharType="end"/>
      </w:r>
      <w:r w:rsidRPr="00496FD7">
        <w:t xml:space="preserve"> се съдържа в доклада на оценителната комисия, който се съгласува от началник на отдел „Програмиране“ и директора на дирекция „Координация на програми  и проекти“, се одобрява от Ръководителя на УО на ПТС.</w:t>
      </w:r>
    </w:p>
    <w:p w:rsidR="007E360C" w:rsidRPr="00496FD7" w:rsidRDefault="007E360C" w:rsidP="00E80472">
      <w:pPr>
        <w:pStyle w:val="ListParagraph"/>
        <w:numPr>
          <w:ilvl w:val="0"/>
          <w:numId w:val="35"/>
        </w:numPr>
        <w:ind w:left="0" w:firstLine="851"/>
      </w:pPr>
      <w:bookmarkStart w:id="247" w:name="_Ref464206798"/>
      <w:r w:rsidRPr="00496FD7">
        <w:t>Решението за предоставяне на БФП от оценителния доклад съдържа най-малко:</w:t>
      </w:r>
      <w:bookmarkEnd w:id="247"/>
      <w:r w:rsidRPr="00496FD7">
        <w:t xml:space="preserve"> </w:t>
      </w:r>
    </w:p>
    <w:p w:rsidR="007E360C" w:rsidRPr="00496FD7" w:rsidRDefault="007E360C" w:rsidP="00E80472">
      <w:pPr>
        <w:pStyle w:val="ListParagraph"/>
        <w:numPr>
          <w:ilvl w:val="0"/>
          <w:numId w:val="36"/>
        </w:numPr>
      </w:pPr>
      <w:r w:rsidRPr="00496FD7">
        <w:t>Обща стойност на проекта;</w:t>
      </w:r>
    </w:p>
    <w:p w:rsidR="007E360C" w:rsidRPr="00496FD7" w:rsidRDefault="007E360C" w:rsidP="00E80472">
      <w:pPr>
        <w:pStyle w:val="ListParagraph"/>
        <w:numPr>
          <w:ilvl w:val="0"/>
          <w:numId w:val="36"/>
        </w:numPr>
      </w:pPr>
      <w:r w:rsidRPr="00496FD7">
        <w:t>Обща стойност на допустимите разходи на проекта;</w:t>
      </w:r>
    </w:p>
    <w:p w:rsidR="007E360C" w:rsidRPr="00496FD7" w:rsidRDefault="007E360C" w:rsidP="00E80472">
      <w:pPr>
        <w:pStyle w:val="ListParagraph"/>
        <w:numPr>
          <w:ilvl w:val="0"/>
          <w:numId w:val="36"/>
        </w:numPr>
      </w:pPr>
      <w:r w:rsidRPr="00496FD7">
        <w:t>Общ размер на безвъзмездната финансова помощ;</w:t>
      </w:r>
    </w:p>
    <w:p w:rsidR="007E360C" w:rsidRPr="00496FD7" w:rsidRDefault="007E360C" w:rsidP="00E80472">
      <w:pPr>
        <w:pStyle w:val="ListParagraph"/>
        <w:numPr>
          <w:ilvl w:val="0"/>
          <w:numId w:val="36"/>
        </w:numPr>
      </w:pPr>
      <w:r w:rsidRPr="00496FD7">
        <w:rPr>
          <w:color w:val="000000"/>
          <w:lang w:eastAsia="en-US"/>
        </w:rPr>
        <w:t>Съотношение БФП към общо допустими разходи:  (%);</w:t>
      </w:r>
    </w:p>
    <w:p w:rsidR="007E360C" w:rsidRPr="00496FD7" w:rsidRDefault="007E360C" w:rsidP="00E80472">
      <w:pPr>
        <w:pStyle w:val="ListParagraph"/>
        <w:numPr>
          <w:ilvl w:val="0"/>
          <w:numId w:val="36"/>
        </w:numPr>
      </w:pPr>
      <w:r w:rsidRPr="00496FD7">
        <w:rPr>
          <w:color w:val="000000"/>
          <w:lang w:eastAsia="en-US"/>
        </w:rPr>
        <w:t>ЕС /Фонд - КФ/ ЕФРР (лева и в %);</w:t>
      </w:r>
    </w:p>
    <w:p w:rsidR="007E360C" w:rsidRPr="00496FD7" w:rsidRDefault="007E360C" w:rsidP="00E80472">
      <w:pPr>
        <w:pStyle w:val="ListParagraph"/>
        <w:numPr>
          <w:ilvl w:val="0"/>
          <w:numId w:val="36"/>
        </w:numPr>
      </w:pPr>
      <w:r w:rsidRPr="00496FD7">
        <w:rPr>
          <w:color w:val="000000"/>
          <w:lang w:eastAsia="en-US"/>
        </w:rPr>
        <w:t>Държавен бюджет (национално съфинансиране) (лева и в %);</w:t>
      </w:r>
    </w:p>
    <w:p w:rsidR="007E360C" w:rsidRPr="00496FD7" w:rsidRDefault="007E360C" w:rsidP="00E80472">
      <w:pPr>
        <w:pStyle w:val="ListParagraph"/>
        <w:numPr>
          <w:ilvl w:val="0"/>
          <w:numId w:val="36"/>
        </w:numPr>
        <w:rPr>
          <w:color w:val="000000"/>
          <w:lang w:eastAsia="en-US"/>
        </w:rPr>
      </w:pPr>
      <w:r w:rsidRPr="00496FD7">
        <w:rPr>
          <w:color w:val="000000"/>
          <w:lang w:eastAsia="en-US"/>
        </w:rPr>
        <w:t>Обща стойност от допустимите разходи, съ-финансирани от бенефициента: (лева);</w:t>
      </w:r>
    </w:p>
    <w:p w:rsidR="007E360C" w:rsidRPr="00496FD7" w:rsidRDefault="007E360C" w:rsidP="00E80472">
      <w:pPr>
        <w:pStyle w:val="ListParagraph"/>
        <w:numPr>
          <w:ilvl w:val="0"/>
          <w:numId w:val="36"/>
        </w:numPr>
        <w:rPr>
          <w:color w:val="000000"/>
          <w:lang w:eastAsia="en-US"/>
        </w:rPr>
      </w:pPr>
      <w:r w:rsidRPr="00496FD7">
        <w:rPr>
          <w:color w:val="000000"/>
          <w:lang w:eastAsia="en-US"/>
        </w:rPr>
        <w:t>Обща стойност на недопустимите разходи, необходими за изпълнението на проекта (</w:t>
      </w:r>
      <w:r w:rsidRPr="00496FD7">
        <w:rPr>
          <w:i/>
          <w:color w:val="000000"/>
          <w:lang w:eastAsia="en-US"/>
        </w:rPr>
        <w:t>когато е приложимо</w:t>
      </w:r>
      <w:r w:rsidRPr="00496FD7">
        <w:rPr>
          <w:color w:val="000000"/>
          <w:lang w:eastAsia="en-US"/>
        </w:rPr>
        <w:t>).</w:t>
      </w:r>
    </w:p>
    <w:p w:rsidR="007E360C" w:rsidRPr="00496FD7" w:rsidRDefault="007E360C" w:rsidP="00E80472">
      <w:pPr>
        <w:pStyle w:val="ListParagraph"/>
        <w:numPr>
          <w:ilvl w:val="0"/>
          <w:numId w:val="35"/>
        </w:numPr>
        <w:ind w:left="0" w:firstLine="851"/>
      </w:pPr>
      <w:r w:rsidRPr="00496FD7">
        <w:t>В доклада (</w:t>
      </w:r>
      <w:hyperlink r:id="rId83" w:history="1">
        <w:r w:rsidRPr="001C7A24">
          <w:rPr>
            <w:rStyle w:val="Hyperlink"/>
            <w:i/>
          </w:rPr>
          <w:t>Приложение № 3.0</w:t>
        </w:r>
        <w:r w:rsidR="001C7A24" w:rsidRPr="001C7A24">
          <w:rPr>
            <w:rStyle w:val="Hyperlink"/>
            <w:i/>
          </w:rPr>
          <w:t>5</w:t>
        </w:r>
      </w:hyperlink>
      <w:r w:rsidRPr="00496FD7">
        <w:t>) при вземането на решение за  предоставяне на безвъзмездна финансова помощ може да се съдържат специфични условия, свързани с финансирането и/или  изпълнението на проектното предложение.</w:t>
      </w:r>
    </w:p>
    <w:p w:rsidR="007E360C" w:rsidRPr="00496FD7" w:rsidRDefault="007E360C" w:rsidP="00E80472">
      <w:pPr>
        <w:pStyle w:val="ListParagraph"/>
        <w:numPr>
          <w:ilvl w:val="0"/>
          <w:numId w:val="35"/>
        </w:numPr>
        <w:ind w:left="0" w:firstLine="851"/>
      </w:pPr>
      <w:r w:rsidRPr="00496FD7">
        <w:t>В случай на отхвърляне на проектното предложение и при отменяне на процеса на оценка, 10-дневен срок от одобряването на оценителния доклад ръководителят на управляващия орган издава мотивирано решение, с което отказва предоставянето на безвъзмездна финансова помощ за проектното предложение (</w:t>
      </w:r>
      <w:hyperlink r:id="rId84" w:tooltip="Решение за отказ за предоставяне на БФП" w:history="1">
        <w:r w:rsidRPr="00496FD7">
          <w:rPr>
            <w:rStyle w:val="Hyperlink"/>
            <w:i/>
          </w:rPr>
          <w:t>Приложение № 3.0</w:t>
        </w:r>
      </w:hyperlink>
      <w:r w:rsidR="001C7A24">
        <w:rPr>
          <w:rStyle w:val="Hyperlink"/>
          <w:i/>
        </w:rPr>
        <w:t>6</w:t>
      </w:r>
      <w:r w:rsidRPr="00496FD7">
        <w:t xml:space="preserve">). </w:t>
      </w:r>
    </w:p>
    <w:p w:rsidR="007E360C" w:rsidRPr="00496FD7" w:rsidRDefault="0056771F" w:rsidP="00E80472">
      <w:pPr>
        <w:pStyle w:val="ListParagraph"/>
        <w:numPr>
          <w:ilvl w:val="0"/>
          <w:numId w:val="35"/>
        </w:numPr>
        <w:ind w:left="0" w:firstLine="851"/>
      </w:pPr>
      <w:r w:rsidRPr="00496FD7">
        <w:t xml:space="preserve">В </w:t>
      </w:r>
      <w:r w:rsidR="007E360C" w:rsidRPr="00496FD7">
        <w:t xml:space="preserve">срок до 10 работни дни от решението по </w:t>
      </w:r>
      <w:r w:rsidR="007E360C" w:rsidRPr="00496FD7">
        <w:rPr>
          <w:b/>
        </w:rPr>
        <w:t xml:space="preserve">точка </w:t>
      </w:r>
      <w:r w:rsidR="007E360C" w:rsidRPr="00496FD7">
        <w:rPr>
          <w:b/>
        </w:rPr>
        <w:fldChar w:fldCharType="begin"/>
      </w:r>
      <w:r w:rsidR="007E360C" w:rsidRPr="00496FD7">
        <w:rPr>
          <w:b/>
        </w:rPr>
        <w:instrText xml:space="preserve"> REF _Ref411593439 \r \h  \* MERGEFORMAT </w:instrText>
      </w:r>
      <w:r w:rsidR="007E360C" w:rsidRPr="00496FD7">
        <w:rPr>
          <w:b/>
        </w:rPr>
      </w:r>
      <w:r w:rsidR="007E360C" w:rsidRPr="00496FD7">
        <w:rPr>
          <w:b/>
        </w:rPr>
        <w:fldChar w:fldCharType="separate"/>
      </w:r>
      <w:r w:rsidR="007E360C" w:rsidRPr="00496FD7">
        <w:rPr>
          <w:b/>
        </w:rPr>
        <w:t>2)</w:t>
      </w:r>
      <w:r w:rsidR="007E360C" w:rsidRPr="00496FD7">
        <w:rPr>
          <w:b/>
        </w:rPr>
        <w:fldChar w:fldCharType="end"/>
      </w:r>
      <w:r w:rsidR="007E360C" w:rsidRPr="00496FD7">
        <w:t xml:space="preserve"> УО на ПТС, уведомява (писмено или по електронен път) конкретния бенефициент за взетото решение.</w:t>
      </w:r>
    </w:p>
    <w:p w:rsidR="007E360C" w:rsidRPr="00496FD7" w:rsidRDefault="007E360C" w:rsidP="00E80472">
      <w:pPr>
        <w:pStyle w:val="ListParagraph"/>
        <w:numPr>
          <w:ilvl w:val="0"/>
          <w:numId w:val="35"/>
        </w:numPr>
        <w:ind w:left="0" w:firstLine="851"/>
      </w:pPr>
      <w:r w:rsidRPr="00496FD7">
        <w:t>В срок до 6 работни дни от издаване на решението за отказ за предоставяне на БФП УО на ПТС, уведомява (писмено или по електронен път) конкретния бенефициент за взетото решение за отказ за предоставяне на БФП. В тези случаи</w:t>
      </w:r>
    </w:p>
    <w:p w:rsidR="007E360C" w:rsidRPr="00496FD7" w:rsidRDefault="007E360C" w:rsidP="00E80472">
      <w:pPr>
        <w:pStyle w:val="ListParagraph"/>
        <w:numPr>
          <w:ilvl w:val="0"/>
          <w:numId w:val="35"/>
        </w:numPr>
        <w:ind w:left="0" w:firstLine="851"/>
      </w:pPr>
      <w:r w:rsidRPr="00496FD7">
        <w:t>Решението за отказ за предоставяне на безвъзмездна финансова помощ се изготвя от член/ председател на комисията за оценка на проектното предложение и се съгласува от началника на отдел „Програмиране“ и директора на дирекция КПП и се предоставя за подпис на Ръководителя на УО.</w:t>
      </w:r>
    </w:p>
    <w:p w:rsidR="007E360C" w:rsidRPr="00496FD7" w:rsidRDefault="007E360C" w:rsidP="00E80472">
      <w:pPr>
        <w:pStyle w:val="ListParagraph"/>
        <w:numPr>
          <w:ilvl w:val="0"/>
          <w:numId w:val="35"/>
        </w:numPr>
        <w:ind w:left="0" w:firstLine="851"/>
      </w:pPr>
      <w:r w:rsidRPr="00496FD7">
        <w:t xml:space="preserve">В уведомлението по </w:t>
      </w:r>
      <w:r w:rsidRPr="00496FD7">
        <w:rPr>
          <w:b/>
        </w:rPr>
        <w:t>точка 10)</w:t>
      </w:r>
      <w:r w:rsidRPr="00496FD7">
        <w:t xml:space="preserve"> се посочват и основанията за това. В този случай Бенефициентът има право, в срок до 7 дни от уведомлението за отхвърляне на проектното предложение, да направи възражение и поиска допълнителни разяснения за причините за отхвърлянето му.</w:t>
      </w:r>
    </w:p>
    <w:p w:rsidR="007E360C" w:rsidRPr="00496FD7" w:rsidRDefault="007E360C" w:rsidP="00E80472">
      <w:pPr>
        <w:pStyle w:val="ListParagraph"/>
        <w:numPr>
          <w:ilvl w:val="0"/>
          <w:numId w:val="35"/>
        </w:numPr>
        <w:ind w:left="0" w:firstLine="851"/>
      </w:pPr>
      <w:r w:rsidRPr="00496FD7">
        <w:t>В случай, че в процеса на оценка бенефициентът не е отразил напълно коментари, бележки или препоръки на УО на ПТС по проектното предложение, бенефициента се уведомява за това (писмено или по електронен път). Ако бенефициент не отстрани в срок нередовност, непълнота и/ или несъответствие с изискванията;</w:t>
      </w:r>
    </w:p>
    <w:p w:rsidR="007E360C" w:rsidRPr="00496FD7" w:rsidRDefault="007E360C" w:rsidP="007E360C"/>
    <w:p w:rsidR="007E360C" w:rsidRPr="00496FD7" w:rsidRDefault="007E360C" w:rsidP="007E360C">
      <w:pPr>
        <w:pStyle w:val="Style2"/>
        <w:rPr>
          <w:lang w:val="bg-BG" w:eastAsia="bg-BG"/>
        </w:rPr>
      </w:pPr>
      <w:bookmarkStart w:id="248" w:name="_Toc479775677"/>
      <w:bookmarkStart w:id="249" w:name="_Toc140150230"/>
      <w:bookmarkStart w:id="250" w:name="_Toc152769907"/>
      <w:r w:rsidRPr="00496FD7">
        <w:rPr>
          <w:lang w:val="bg-BG" w:eastAsia="bg-BG"/>
        </w:rPr>
        <w:t>Административен договор/ Заповед за предоставяне на БФП</w:t>
      </w:r>
      <w:bookmarkEnd w:id="244"/>
      <w:bookmarkEnd w:id="248"/>
      <w:bookmarkEnd w:id="249"/>
      <w:bookmarkEnd w:id="250"/>
    </w:p>
    <w:p w:rsidR="007E360C" w:rsidRPr="00496FD7" w:rsidRDefault="007E360C" w:rsidP="00E80472">
      <w:pPr>
        <w:pStyle w:val="ListParagraph"/>
        <w:numPr>
          <w:ilvl w:val="0"/>
          <w:numId w:val="37"/>
        </w:numPr>
        <w:ind w:left="0" w:firstLine="851"/>
      </w:pPr>
      <w:bookmarkStart w:id="251" w:name="_Ref395514677"/>
      <w:r w:rsidRPr="00496FD7">
        <w:lastRenderedPageBreak/>
        <w:t xml:space="preserve">След приключване на оценителния процес в случай на положителен резултат от оценяването на проекта/ бюджетната линия, се пристъпва към процедурата по предоставяне на БФП, като за целта в съответствие с </w:t>
      </w:r>
      <w:r w:rsidR="00774876" w:rsidRPr="00496FD7">
        <w:rPr>
          <w:lang w:eastAsia="fr-FR"/>
        </w:rPr>
        <w:t xml:space="preserve">чл. 24 </w:t>
      </w:r>
      <w:r w:rsidRPr="00496FD7">
        <w:rPr>
          <w:lang w:eastAsia="fr-FR"/>
        </w:rPr>
        <w:t>и чл. 45, ал. 2</w:t>
      </w:r>
      <w:r w:rsidR="00094696">
        <w:rPr>
          <w:lang w:eastAsia="fr-FR"/>
        </w:rPr>
        <w:t>/чл. 37</w:t>
      </w:r>
      <w:r w:rsidRPr="00496FD7">
        <w:rPr>
          <w:lang w:eastAsia="fr-FR"/>
        </w:rPr>
        <w:t xml:space="preserve"> от </w:t>
      </w:r>
      <w:r w:rsidR="00436CBC" w:rsidRPr="00496FD7">
        <w:rPr>
          <w:lang w:eastAsia="fr-FR"/>
        </w:rPr>
        <w:t>ЗУСЕФСУ</w:t>
      </w:r>
      <w:r w:rsidR="00F7640F" w:rsidRPr="00496FD7">
        <w:rPr>
          <w:lang w:eastAsia="fr-FR"/>
        </w:rPr>
        <w:t>, чл. 3 о</w:t>
      </w:r>
      <w:r w:rsidRPr="00496FD7">
        <w:rPr>
          <w:lang w:eastAsia="fr-FR"/>
        </w:rPr>
        <w:t xml:space="preserve">т Постановление № </w:t>
      </w:r>
      <w:r w:rsidR="00F7640F" w:rsidRPr="00496FD7">
        <w:rPr>
          <w:lang w:eastAsia="fr-FR"/>
        </w:rPr>
        <w:t>23</w:t>
      </w:r>
      <w:r w:rsidRPr="00496FD7">
        <w:rPr>
          <w:lang w:eastAsia="fr-FR"/>
        </w:rPr>
        <w:t xml:space="preserve"> на Министерския съвет от </w:t>
      </w:r>
      <w:r w:rsidR="00F7640F" w:rsidRPr="00496FD7">
        <w:rPr>
          <w:lang w:eastAsia="fr-FR"/>
        </w:rPr>
        <w:t>2023</w:t>
      </w:r>
      <w:r w:rsidRPr="00496FD7">
        <w:rPr>
          <w:lang w:eastAsia="fr-FR"/>
        </w:rPr>
        <w:t xml:space="preserve"> г. </w:t>
      </w:r>
      <w:r w:rsidRPr="00496FD7">
        <w:t>се подготвя проект на:</w:t>
      </w:r>
    </w:p>
    <w:p w:rsidR="007E360C" w:rsidRPr="00496FD7" w:rsidRDefault="007E360C" w:rsidP="00E80472">
      <w:pPr>
        <w:numPr>
          <w:ilvl w:val="3"/>
          <w:numId w:val="18"/>
        </w:numPr>
        <w:spacing w:after="120"/>
        <w:ind w:left="1276" w:hanging="283"/>
        <w:rPr>
          <w:szCs w:val="24"/>
          <w:lang w:eastAsia="bg-BG"/>
        </w:rPr>
      </w:pPr>
      <w:r w:rsidRPr="00496FD7">
        <w:rPr>
          <w:szCs w:val="24"/>
          <w:lang w:eastAsia="bg-BG"/>
        </w:rPr>
        <w:t>административен договор между Ръководителя на УО на ПТС и Бенефициента;</w:t>
      </w:r>
    </w:p>
    <w:p w:rsidR="007E360C" w:rsidRPr="00496FD7" w:rsidRDefault="007E360C" w:rsidP="007E360C">
      <w:pPr>
        <w:spacing w:after="120"/>
        <w:ind w:left="1843" w:hanging="567"/>
        <w:rPr>
          <w:szCs w:val="24"/>
          <w:lang w:eastAsia="bg-BG"/>
        </w:rPr>
      </w:pPr>
      <w:r w:rsidRPr="00496FD7">
        <w:rPr>
          <w:szCs w:val="24"/>
          <w:lang w:eastAsia="bg-BG"/>
        </w:rPr>
        <w:t>или</w:t>
      </w:r>
    </w:p>
    <w:p w:rsidR="007E360C" w:rsidRPr="00496FD7" w:rsidRDefault="007E360C" w:rsidP="00E80472">
      <w:pPr>
        <w:numPr>
          <w:ilvl w:val="3"/>
          <w:numId w:val="18"/>
        </w:numPr>
        <w:spacing w:after="120"/>
        <w:ind w:left="1276" w:hanging="283"/>
        <w:rPr>
          <w:szCs w:val="24"/>
          <w:lang w:eastAsia="bg-BG"/>
        </w:rPr>
      </w:pPr>
      <w:r w:rsidRPr="00496FD7">
        <w:rPr>
          <w:szCs w:val="24"/>
          <w:lang w:eastAsia="bg-BG"/>
        </w:rPr>
        <w:t>заповед на Ръководителя на УО на ПТС в случаите, в които бенефициентът и УО са в една и съща администрация.</w:t>
      </w:r>
    </w:p>
    <w:p w:rsidR="007E360C" w:rsidRPr="00496FD7" w:rsidRDefault="007E360C" w:rsidP="00E80472">
      <w:pPr>
        <w:pStyle w:val="ListParagraph"/>
        <w:numPr>
          <w:ilvl w:val="0"/>
          <w:numId w:val="37"/>
        </w:numPr>
        <w:ind w:left="0" w:firstLine="851"/>
      </w:pPr>
      <w:r w:rsidRPr="00496FD7">
        <w:t>Образци на административен договор/ заповед за БФП са (</w:t>
      </w:r>
      <w:hyperlink r:id="rId85" w:tooltip="Административен договор" w:history="1">
        <w:r w:rsidRPr="00496FD7">
          <w:rPr>
            <w:rStyle w:val="Hyperlink"/>
            <w:i/>
          </w:rPr>
          <w:t>Приложение № 3.</w:t>
        </w:r>
      </w:hyperlink>
      <w:r w:rsidR="00094696">
        <w:rPr>
          <w:rStyle w:val="Hyperlink"/>
          <w:i/>
        </w:rPr>
        <w:t>07</w:t>
      </w:r>
      <w:r w:rsidRPr="00496FD7">
        <w:rPr>
          <w:b/>
          <w:i/>
        </w:rPr>
        <w:t xml:space="preserve"> и </w:t>
      </w:r>
      <w:hyperlink r:id="rId86" w:tooltip="Заповед за БФП" w:history="1">
        <w:r w:rsidRPr="00496FD7">
          <w:rPr>
            <w:rStyle w:val="Hyperlink"/>
            <w:i/>
          </w:rPr>
          <w:t>Приложение № 3.</w:t>
        </w:r>
      </w:hyperlink>
      <w:r w:rsidR="00094696">
        <w:rPr>
          <w:rStyle w:val="Hyperlink"/>
          <w:i/>
        </w:rPr>
        <w:t>08</w:t>
      </w:r>
      <w:r w:rsidRPr="00496FD7">
        <w:t>). В договора/ заповедта за БФП се включва информация от одобрения ФК/финансов план, която е съотносима само към етапа на изпълнение на финансирания проект или частта от него, предвидена в образеца на административен договор. Договора/заповедта за БФП се генерира и от ИСУН 2020.</w:t>
      </w:r>
    </w:p>
    <w:p w:rsidR="007E360C" w:rsidRPr="00496FD7" w:rsidRDefault="007E360C" w:rsidP="00E80472">
      <w:pPr>
        <w:pStyle w:val="ListParagraph"/>
        <w:numPr>
          <w:ilvl w:val="0"/>
          <w:numId w:val="37"/>
        </w:numPr>
        <w:ind w:left="0" w:firstLine="851"/>
      </w:pPr>
      <w:r w:rsidRPr="00496FD7">
        <w:t xml:space="preserve">Срокът на договора/ заповедта се определя като към срока за изпълнение на дейностите по проекта/ бюджетната линия се добавя период от приблизително 6 месеца за изготвяне на документите за приключване на отчитането на проекта/ бюджетната линия. </w:t>
      </w:r>
    </w:p>
    <w:p w:rsidR="007E360C" w:rsidRPr="00496FD7" w:rsidRDefault="007E360C" w:rsidP="00E80472">
      <w:pPr>
        <w:pStyle w:val="ListParagraph"/>
        <w:numPr>
          <w:ilvl w:val="0"/>
          <w:numId w:val="37"/>
        </w:numPr>
        <w:ind w:left="0" w:firstLine="851"/>
      </w:pPr>
      <w:r w:rsidRPr="00496FD7">
        <w:t>Договорът/Заповедта за БФП се изготвя в четири/ два еднообразни екземпляра и се попълва от експерт/и в отдел „Програмиране”, определени от началника на отдела. За целта, в зависимост от бенефициента, се използва образеца на договор (</w:t>
      </w:r>
      <w:hyperlink r:id="rId87" w:tooltip="Административен договор" w:history="1">
        <w:r w:rsidR="00094696" w:rsidRPr="00496FD7">
          <w:rPr>
            <w:rStyle w:val="Hyperlink"/>
            <w:i/>
          </w:rPr>
          <w:t>Приложение № 3.</w:t>
        </w:r>
      </w:hyperlink>
      <w:r w:rsidR="00094696">
        <w:rPr>
          <w:rStyle w:val="Hyperlink"/>
          <w:i/>
        </w:rPr>
        <w:t>07</w:t>
      </w:r>
      <w:r w:rsidRPr="00496FD7">
        <w:t>) или образец на заповед (</w:t>
      </w:r>
      <w:hyperlink r:id="rId88" w:tooltip="Заповед за БФП" w:history="1">
        <w:r w:rsidR="00094696" w:rsidRPr="00496FD7">
          <w:rPr>
            <w:rStyle w:val="Hyperlink"/>
            <w:i/>
          </w:rPr>
          <w:t>Приложение № 3.</w:t>
        </w:r>
      </w:hyperlink>
      <w:r w:rsidR="00094696">
        <w:rPr>
          <w:rStyle w:val="Hyperlink"/>
          <w:i/>
        </w:rPr>
        <w:t>08</w:t>
      </w:r>
      <w:r w:rsidRPr="00496FD7">
        <w:t>), като при необходимост се добавят спецификите на конкретния проект.</w:t>
      </w:r>
    </w:p>
    <w:p w:rsidR="007E360C" w:rsidRPr="00496FD7" w:rsidRDefault="007E360C" w:rsidP="00E80472">
      <w:pPr>
        <w:pStyle w:val="ListParagraph"/>
        <w:numPr>
          <w:ilvl w:val="0"/>
          <w:numId w:val="37"/>
        </w:numPr>
        <w:ind w:left="0" w:firstLine="851"/>
      </w:pPr>
      <w:r w:rsidRPr="00496FD7">
        <w:t>Следваща стъпка е съгласуването на договора/ заповедта за предоставяне на БФП като всеки съгласуващ  може да постъпи по следния начин:</w:t>
      </w:r>
    </w:p>
    <w:p w:rsidR="007E360C" w:rsidRPr="00496FD7" w:rsidRDefault="007E360C" w:rsidP="00E80472">
      <w:pPr>
        <w:numPr>
          <w:ilvl w:val="0"/>
          <w:numId w:val="14"/>
        </w:numPr>
        <w:spacing w:before="120" w:after="120"/>
        <w:ind w:left="1276"/>
        <w:rPr>
          <w:szCs w:val="24"/>
          <w:lang w:eastAsia="bg-BG"/>
        </w:rPr>
      </w:pPr>
      <w:r w:rsidRPr="00496FD7">
        <w:rPr>
          <w:szCs w:val="24"/>
          <w:lang w:eastAsia="bg-BG"/>
        </w:rPr>
        <w:t xml:space="preserve">да съгласува договора/ заповедта за предоставяне на БФП </w:t>
      </w:r>
    </w:p>
    <w:p w:rsidR="007E360C" w:rsidRPr="00496FD7" w:rsidRDefault="007E360C" w:rsidP="007E360C">
      <w:pPr>
        <w:spacing w:after="120"/>
        <w:ind w:left="720"/>
        <w:rPr>
          <w:szCs w:val="24"/>
          <w:lang w:eastAsia="bg-BG"/>
        </w:rPr>
      </w:pPr>
      <w:r w:rsidRPr="00496FD7">
        <w:rPr>
          <w:szCs w:val="24"/>
          <w:lang w:eastAsia="bg-BG"/>
        </w:rPr>
        <w:t>или</w:t>
      </w:r>
    </w:p>
    <w:p w:rsidR="007E360C" w:rsidRPr="00496FD7" w:rsidRDefault="007E360C" w:rsidP="00E80472">
      <w:pPr>
        <w:numPr>
          <w:ilvl w:val="0"/>
          <w:numId w:val="14"/>
        </w:numPr>
        <w:spacing w:before="120" w:after="120"/>
        <w:ind w:left="1276"/>
        <w:rPr>
          <w:szCs w:val="24"/>
          <w:lang w:eastAsia="bg-BG"/>
        </w:rPr>
      </w:pPr>
      <w:r w:rsidRPr="00496FD7">
        <w:rPr>
          <w:szCs w:val="24"/>
          <w:lang w:eastAsia="bg-BG"/>
        </w:rPr>
        <w:t>да върне обратно договора/заповедта за БФП, с указания за корекция и/или допълване като посочи основания за това.</w:t>
      </w:r>
    </w:p>
    <w:p w:rsidR="007E360C" w:rsidRPr="00496FD7" w:rsidRDefault="007E360C" w:rsidP="00E80472">
      <w:pPr>
        <w:pStyle w:val="ListParagraph"/>
        <w:numPr>
          <w:ilvl w:val="0"/>
          <w:numId w:val="37"/>
        </w:numPr>
        <w:ind w:left="0" w:firstLine="851"/>
      </w:pPr>
      <w:r w:rsidRPr="00496FD7">
        <w:t xml:space="preserve">Съгласуването на договора/ заповедта за БФП се извършва в срок до 6 дни от всички съгласуващи в следния порядък: </w:t>
      </w:r>
    </w:p>
    <w:p w:rsidR="007E360C" w:rsidRPr="00496FD7" w:rsidRDefault="007E360C" w:rsidP="00E80472">
      <w:pPr>
        <w:numPr>
          <w:ilvl w:val="0"/>
          <w:numId w:val="14"/>
        </w:numPr>
        <w:spacing w:before="120" w:after="120"/>
        <w:ind w:left="1276"/>
        <w:rPr>
          <w:szCs w:val="24"/>
          <w:lang w:eastAsia="bg-BG"/>
        </w:rPr>
      </w:pPr>
      <w:r w:rsidRPr="00496FD7">
        <w:rPr>
          <w:szCs w:val="24"/>
          <w:lang w:eastAsia="bg-BG"/>
        </w:rPr>
        <w:t>началника на отдел „Програмиране”, дирекция КПП;</w:t>
      </w:r>
    </w:p>
    <w:p w:rsidR="007E360C" w:rsidRPr="00496FD7" w:rsidRDefault="007E360C" w:rsidP="00E80472">
      <w:pPr>
        <w:numPr>
          <w:ilvl w:val="0"/>
          <w:numId w:val="14"/>
        </w:numPr>
        <w:spacing w:before="120" w:after="120"/>
        <w:ind w:left="1276"/>
        <w:rPr>
          <w:szCs w:val="24"/>
          <w:lang w:eastAsia="bg-BG"/>
        </w:rPr>
      </w:pPr>
      <w:r w:rsidRPr="00496FD7">
        <w:rPr>
          <w:szCs w:val="24"/>
          <w:lang w:eastAsia="bg-BG"/>
        </w:rPr>
        <w:t>началника на отдел „Финансово управление”;</w:t>
      </w:r>
    </w:p>
    <w:p w:rsidR="007E360C" w:rsidRPr="00496FD7" w:rsidRDefault="007E360C" w:rsidP="00E80472">
      <w:pPr>
        <w:numPr>
          <w:ilvl w:val="0"/>
          <w:numId w:val="14"/>
        </w:numPr>
        <w:spacing w:before="120" w:after="120"/>
        <w:ind w:left="1276"/>
        <w:rPr>
          <w:szCs w:val="24"/>
          <w:lang w:eastAsia="bg-BG"/>
        </w:rPr>
      </w:pPr>
      <w:r w:rsidRPr="00496FD7">
        <w:rPr>
          <w:szCs w:val="24"/>
          <w:lang w:eastAsia="bg-BG"/>
        </w:rPr>
        <w:t>директора на дирекция „Координация на програми и проекти“ (</w:t>
      </w:r>
      <w:r w:rsidRPr="00496FD7">
        <w:rPr>
          <w:i/>
          <w:szCs w:val="24"/>
          <w:lang w:eastAsia="bg-BG"/>
        </w:rPr>
        <w:t>не е приложимо когато директорът е и ръководител на УО</w:t>
      </w:r>
      <w:r w:rsidRPr="00496FD7">
        <w:rPr>
          <w:szCs w:val="24"/>
          <w:lang w:eastAsia="bg-BG"/>
        </w:rPr>
        <w:t>)</w:t>
      </w:r>
    </w:p>
    <w:p w:rsidR="007E360C" w:rsidRPr="00496FD7" w:rsidRDefault="007E360C" w:rsidP="00E80472">
      <w:pPr>
        <w:numPr>
          <w:ilvl w:val="0"/>
          <w:numId w:val="14"/>
        </w:numPr>
        <w:spacing w:before="120" w:after="120"/>
        <w:ind w:left="1276"/>
        <w:rPr>
          <w:szCs w:val="24"/>
          <w:lang w:eastAsia="bg-BG"/>
        </w:rPr>
      </w:pPr>
      <w:r w:rsidRPr="00496FD7">
        <w:rPr>
          <w:szCs w:val="24"/>
          <w:lang w:eastAsia="bg-BG"/>
        </w:rPr>
        <w:t>директора на дирекция „Финанси“ (</w:t>
      </w:r>
      <w:r w:rsidRPr="00496FD7">
        <w:rPr>
          <w:i/>
          <w:szCs w:val="24"/>
          <w:lang w:eastAsia="bg-BG"/>
        </w:rPr>
        <w:t>приложимо само за заповед за предоставяне на БФП</w:t>
      </w:r>
      <w:r w:rsidRPr="00496FD7">
        <w:rPr>
          <w:szCs w:val="24"/>
          <w:lang w:eastAsia="bg-BG"/>
        </w:rPr>
        <w:t>);</w:t>
      </w:r>
    </w:p>
    <w:p w:rsidR="007E360C" w:rsidRPr="00496FD7" w:rsidRDefault="007E360C" w:rsidP="00E80472">
      <w:pPr>
        <w:numPr>
          <w:ilvl w:val="0"/>
          <w:numId w:val="14"/>
        </w:numPr>
        <w:spacing w:before="120" w:after="120"/>
        <w:ind w:left="1276"/>
        <w:rPr>
          <w:szCs w:val="24"/>
          <w:lang w:eastAsia="bg-BG"/>
        </w:rPr>
      </w:pPr>
      <w:r w:rsidRPr="00496FD7">
        <w:rPr>
          <w:szCs w:val="24"/>
          <w:lang w:eastAsia="bg-BG"/>
        </w:rPr>
        <w:t>директора на дирекция „Правна”;</w:t>
      </w:r>
    </w:p>
    <w:p w:rsidR="007E360C" w:rsidRPr="00496FD7" w:rsidRDefault="007E360C" w:rsidP="00E80472">
      <w:pPr>
        <w:numPr>
          <w:ilvl w:val="0"/>
          <w:numId w:val="14"/>
        </w:numPr>
        <w:spacing w:before="120" w:after="120"/>
        <w:ind w:left="1276"/>
        <w:rPr>
          <w:szCs w:val="24"/>
          <w:lang w:eastAsia="bg-BG"/>
        </w:rPr>
      </w:pPr>
      <w:r w:rsidRPr="00496FD7">
        <w:rPr>
          <w:szCs w:val="24"/>
          <w:lang w:eastAsia="bg-BG"/>
        </w:rPr>
        <w:t xml:space="preserve">финансов контрольор по ПТС, който попълва </w:t>
      </w:r>
      <w:hyperlink r:id="rId89" w:tooltip="Kонтролен лист № за извършване на предварителен контрол от финансовия контрольор преди поемане на задължение" w:history="1">
        <w:r w:rsidRPr="00496FD7">
          <w:rPr>
            <w:rStyle w:val="Hyperlink"/>
            <w:i/>
            <w:szCs w:val="24"/>
            <w:lang w:eastAsia="bg-BG"/>
          </w:rPr>
          <w:t>Приложение № 3.</w:t>
        </w:r>
        <w:r w:rsidR="00094696">
          <w:rPr>
            <w:rStyle w:val="Hyperlink"/>
            <w:i/>
            <w:szCs w:val="24"/>
            <w:lang w:eastAsia="bg-BG"/>
          </w:rPr>
          <w:t>03.7</w:t>
        </w:r>
      </w:hyperlink>
    </w:p>
    <w:p w:rsidR="007E360C" w:rsidRPr="00496FD7" w:rsidRDefault="007E360C" w:rsidP="00E80472">
      <w:pPr>
        <w:pStyle w:val="ListParagraph"/>
        <w:numPr>
          <w:ilvl w:val="0"/>
          <w:numId w:val="37"/>
        </w:numPr>
        <w:ind w:left="0" w:firstLine="851"/>
      </w:pPr>
      <w:r w:rsidRPr="00496FD7">
        <w:lastRenderedPageBreak/>
        <w:t>Когато съгласува административния договор/ заповедта за БФП началникът на отдел „Финансово управление” определя размера на авансовото плащане на база наличните средства от предоставения от Европейския фонд за регионално развитие или Кохезионния фонд аванс по програмата, бюджета  на проекта  и информацията относно сключените договори с изпълнители по проекта, представена в приложението към договора/ заповедта за предоставяне на БФП;</w:t>
      </w:r>
    </w:p>
    <w:p w:rsidR="007E360C" w:rsidRPr="00496FD7" w:rsidRDefault="007E360C" w:rsidP="00094696">
      <w:pPr>
        <w:pStyle w:val="ListParagraph"/>
        <w:numPr>
          <w:ilvl w:val="0"/>
          <w:numId w:val="37"/>
        </w:numPr>
      </w:pPr>
      <w:r w:rsidRPr="00496FD7">
        <w:t>Съгласуваният/ата договор/заповед за БФП се предоставя за проверка и съгласуване от Финансовия контрольор в УО на ПТС. Финансовия контрольор извършва проверка на договора/заповедта за предоставяне на БФП и попълва Контролен лист за извършване на предварителен контрол преди поемане на задължението (</w:t>
      </w:r>
      <w:hyperlink r:id="rId90" w:history="1">
        <w:r w:rsidR="00094696" w:rsidRPr="00094696">
          <w:rPr>
            <w:rStyle w:val="Hyperlink"/>
          </w:rPr>
          <w:t>Приложение № 3.03.7</w:t>
        </w:r>
      </w:hyperlink>
      <w:r w:rsidRPr="00496FD7">
        <w:t>) в системата ИСУН 2020. В резултат на извършената проверка, Финансовия контрольор може:</w:t>
      </w:r>
    </w:p>
    <w:p w:rsidR="007E360C" w:rsidRPr="00496FD7" w:rsidRDefault="007E360C" w:rsidP="00E80472">
      <w:pPr>
        <w:numPr>
          <w:ilvl w:val="0"/>
          <w:numId w:val="14"/>
        </w:numPr>
        <w:spacing w:before="120" w:after="120"/>
        <w:rPr>
          <w:szCs w:val="24"/>
          <w:lang w:eastAsia="bg-BG"/>
        </w:rPr>
      </w:pPr>
      <w:r w:rsidRPr="00496FD7">
        <w:rPr>
          <w:szCs w:val="24"/>
          <w:lang w:eastAsia="bg-BG"/>
        </w:rPr>
        <w:t>да одобри поемането на задължението и съгласува договор/ заповед за предоставяне на БФП;</w:t>
      </w:r>
    </w:p>
    <w:p w:rsidR="007E360C" w:rsidRPr="00496FD7" w:rsidRDefault="007E360C" w:rsidP="007E360C">
      <w:pPr>
        <w:spacing w:before="120" w:after="120"/>
        <w:ind w:left="851"/>
        <w:rPr>
          <w:szCs w:val="24"/>
          <w:lang w:eastAsia="bg-BG"/>
        </w:rPr>
      </w:pPr>
      <w:r w:rsidRPr="00496FD7">
        <w:rPr>
          <w:szCs w:val="24"/>
          <w:lang w:eastAsia="bg-BG"/>
        </w:rPr>
        <w:t>или</w:t>
      </w:r>
    </w:p>
    <w:p w:rsidR="007E360C" w:rsidRPr="00496FD7" w:rsidRDefault="007E360C" w:rsidP="00E80472">
      <w:pPr>
        <w:numPr>
          <w:ilvl w:val="0"/>
          <w:numId w:val="14"/>
        </w:numPr>
        <w:spacing w:before="120" w:after="120"/>
        <w:rPr>
          <w:szCs w:val="24"/>
          <w:lang w:eastAsia="bg-BG"/>
        </w:rPr>
      </w:pPr>
      <w:r w:rsidRPr="00496FD7">
        <w:rPr>
          <w:szCs w:val="24"/>
          <w:lang w:eastAsia="bg-BG"/>
        </w:rPr>
        <w:t>да не одобри поемането на задължението и да върне договора/ заповедта за предоставяне на БФП, с указания за корекция.</w:t>
      </w:r>
    </w:p>
    <w:p w:rsidR="007E360C" w:rsidRPr="00496FD7" w:rsidRDefault="007E360C" w:rsidP="00E80472">
      <w:pPr>
        <w:pStyle w:val="ListParagraph"/>
        <w:numPr>
          <w:ilvl w:val="0"/>
          <w:numId w:val="37"/>
        </w:numPr>
        <w:ind w:left="0" w:firstLine="851"/>
      </w:pPr>
      <w:r w:rsidRPr="00496FD7">
        <w:t>Договор/Заповед за БФП се извършва, чрез прилагане на системата за двоен подпис, изискваща подпис на Ръководителя на УО и подпис на служител, отговорен за финансовата отчетност по ПТС.</w:t>
      </w:r>
    </w:p>
    <w:p w:rsidR="007E360C" w:rsidRPr="00496FD7" w:rsidRDefault="007E360C" w:rsidP="00E80472">
      <w:pPr>
        <w:pStyle w:val="ListParagraph"/>
        <w:numPr>
          <w:ilvl w:val="0"/>
          <w:numId w:val="37"/>
        </w:numPr>
        <w:ind w:left="0" w:firstLine="851"/>
      </w:pPr>
      <w:r w:rsidRPr="00496FD7">
        <w:t xml:space="preserve">Със заповед Ръководителя на УО на ПТС определя-оторизира служител от отдел „Финансово управление“, отговорен за счетоводните записвания по ПТС, изпълняващ спазването на системата за двоен подпис, съгласно изискванията на чл. 13, ал. 3 от Закона за финансовото управление и контрол в публичния сектор. </w:t>
      </w:r>
    </w:p>
    <w:p w:rsidR="007E360C" w:rsidRPr="00496FD7" w:rsidRDefault="007E360C" w:rsidP="00E80472">
      <w:pPr>
        <w:pStyle w:val="ListParagraph"/>
        <w:numPr>
          <w:ilvl w:val="0"/>
          <w:numId w:val="37"/>
        </w:numPr>
        <w:ind w:left="0" w:firstLine="851"/>
      </w:pPr>
      <w:r w:rsidRPr="00496FD7">
        <w:t xml:space="preserve">Съгласуваният/ата договор (анекс)/заповед за БФП се предоставя за подпис на определения служител по </w:t>
      </w:r>
      <w:r w:rsidRPr="00496FD7">
        <w:rPr>
          <w:b/>
        </w:rPr>
        <w:t>точка 10)</w:t>
      </w:r>
      <w:r w:rsidRPr="00496FD7">
        <w:t xml:space="preserve"> и на Ръководителят на УО на ПТС в едноседмичен срок от вземането на Решението за предоставяне на БФП, съдържащо се в оценителния доклад (</w:t>
      </w:r>
      <w:hyperlink r:id="rId91" w:tooltip="Доклад за извършена оценка на проектно предложение" w:history="1">
        <w:r w:rsidRPr="00496FD7">
          <w:rPr>
            <w:rStyle w:val="Hyperlink"/>
            <w:i/>
          </w:rPr>
          <w:t>Приложение № 3.0</w:t>
        </w:r>
      </w:hyperlink>
      <w:r w:rsidR="00094696">
        <w:rPr>
          <w:rStyle w:val="Hyperlink"/>
          <w:i/>
        </w:rPr>
        <w:t>5</w:t>
      </w:r>
      <w:r w:rsidRPr="00496FD7">
        <w:t>).</w:t>
      </w:r>
    </w:p>
    <w:p w:rsidR="007E360C" w:rsidRPr="00496FD7" w:rsidRDefault="007E360C" w:rsidP="00E80472">
      <w:pPr>
        <w:pStyle w:val="ListParagraph"/>
        <w:numPr>
          <w:ilvl w:val="0"/>
          <w:numId w:val="37"/>
        </w:numPr>
        <w:ind w:left="0" w:firstLine="851"/>
      </w:pPr>
      <w:r w:rsidRPr="00496FD7">
        <w:t>Договора/заповедта за БФП се предоставя за подпис на Бенефициента по проекта, който връща четирите подписани и подпечатани екземпляра в УО на ПТС за регистриране в деловодната система на МТС с регистрационен номер и дата и отразяване в ИСУН 2020.</w:t>
      </w:r>
    </w:p>
    <w:p w:rsidR="007E360C" w:rsidRPr="00496FD7" w:rsidRDefault="007E360C" w:rsidP="00E80472">
      <w:pPr>
        <w:pStyle w:val="ListParagraph"/>
        <w:numPr>
          <w:ilvl w:val="0"/>
          <w:numId w:val="37"/>
        </w:numPr>
        <w:ind w:left="0" w:firstLine="851"/>
      </w:pPr>
      <w:r w:rsidRPr="00496FD7">
        <w:t xml:space="preserve">Ръководителят на УО на ПТС взема решение за предоставяне на БФП, което се обективира в Административен договор/ Заповед в едноседмичен срок от приключването на оценката, в случай на положителен резултат  (чл. 45, ал. 1 на </w:t>
      </w:r>
      <w:r w:rsidR="00436CBC" w:rsidRPr="00496FD7">
        <w:t>ЗУСЕФСУ</w:t>
      </w:r>
      <w:r w:rsidRPr="00496FD7">
        <w:t>).</w:t>
      </w:r>
    </w:p>
    <w:p w:rsidR="007E360C" w:rsidRPr="00496FD7" w:rsidRDefault="00774876" w:rsidP="00E80472">
      <w:pPr>
        <w:pStyle w:val="ListParagraph"/>
        <w:numPr>
          <w:ilvl w:val="0"/>
          <w:numId w:val="37"/>
        </w:numPr>
        <w:ind w:left="0" w:firstLine="851"/>
      </w:pPr>
      <w:r w:rsidRPr="00496FD7">
        <w:t xml:space="preserve">В случай на липса на свободен  финансов ресурс в процедурата/приоритета/ програмата </w:t>
      </w:r>
      <w:r w:rsidR="007E360C" w:rsidRPr="00496FD7">
        <w:t>УО на ПТС може да предостави безвъзмездна финансова помощ за проект въз основа на решение на Министерския съвет. В решението на Министерския съвет се посочва източникът на финансиране</w:t>
      </w:r>
      <w:r w:rsidRPr="00496FD7">
        <w:t>/дофинансиране</w:t>
      </w:r>
      <w:r w:rsidR="007E360C" w:rsidRPr="00496FD7">
        <w:t xml:space="preserve"> на проекта в случай на </w:t>
      </w:r>
      <w:r w:rsidRPr="00496FD7">
        <w:t>липса на достатъчен ресурс по програмата</w:t>
      </w:r>
      <w:r w:rsidR="007E360C" w:rsidRPr="00496FD7">
        <w:t>.</w:t>
      </w:r>
    </w:p>
    <w:p w:rsidR="007E360C" w:rsidRPr="00496FD7" w:rsidRDefault="007E360C" w:rsidP="00E80472">
      <w:pPr>
        <w:pStyle w:val="ListParagraph"/>
        <w:numPr>
          <w:ilvl w:val="0"/>
          <w:numId w:val="37"/>
        </w:numPr>
        <w:ind w:left="0" w:firstLine="851"/>
      </w:pPr>
      <w:r w:rsidRPr="00496FD7">
        <w:t xml:space="preserve">Служител от отдел „Програмиране“ информира за сключения договор/ издадената заповед за предоставяне на БФП, чрез електронна поща, началниците на </w:t>
      </w:r>
      <w:r w:rsidRPr="00496FD7">
        <w:lastRenderedPageBreak/>
        <w:t>всички отдели в дирекция „Координация на програми и проекти” в срок до 5 работни дни от дата на подписването му.</w:t>
      </w:r>
    </w:p>
    <w:p w:rsidR="00774876" w:rsidRPr="00496FD7" w:rsidRDefault="007E360C" w:rsidP="00CA5ACA">
      <w:pPr>
        <w:pStyle w:val="ListParagraph"/>
        <w:numPr>
          <w:ilvl w:val="0"/>
          <w:numId w:val="37"/>
        </w:numPr>
        <w:ind w:left="0" w:firstLine="851"/>
      </w:pPr>
      <w:r w:rsidRPr="00496FD7">
        <w:t>До 14 работни дни от датата на сключване на административния договора/ издаване на заповедта за предоставяне на безвъзмездна финансова помощ на интернет страницата на ПТС и на ЕИП се публикува информация относно предоставената помощ</w:t>
      </w:r>
      <w:r w:rsidR="00774876" w:rsidRPr="00496FD7">
        <w:t xml:space="preserve">, като началникът </w:t>
      </w:r>
      <w:r w:rsidRPr="00496FD7">
        <w:t>на отдел „Информация, публичност и техническа</w:t>
      </w:r>
      <w:r w:rsidR="00774876" w:rsidRPr="00496FD7">
        <w:t xml:space="preserve"> помощ” организира изпълнението.</w:t>
      </w:r>
    </w:p>
    <w:p w:rsidR="007E360C" w:rsidRPr="00496FD7" w:rsidRDefault="007E360C" w:rsidP="00CA5ACA">
      <w:pPr>
        <w:pStyle w:val="ListParagraph"/>
        <w:numPr>
          <w:ilvl w:val="0"/>
          <w:numId w:val="37"/>
        </w:numPr>
        <w:ind w:left="0" w:firstLine="851"/>
      </w:pPr>
      <w:r w:rsidRPr="00496FD7">
        <w:t>След подписване на административния договор/ издаване на заповедта  в срок до 3 работни дни от регистрирането му в деловодната система на МТС, служител от отдел „Програмиране“ въвежда информацията в модул „Договори“ на ИСУН 2020.</w:t>
      </w:r>
    </w:p>
    <w:p w:rsidR="007E360C" w:rsidRPr="00496FD7" w:rsidRDefault="007E360C" w:rsidP="007E360C">
      <w:pPr>
        <w:rPr>
          <w:b/>
          <w:szCs w:val="24"/>
          <w:lang w:eastAsia="bg-BG"/>
        </w:rPr>
      </w:pPr>
    </w:p>
    <w:p w:rsidR="007E360C" w:rsidRPr="00496FD7" w:rsidRDefault="007E360C" w:rsidP="007E360C">
      <w:pPr>
        <w:rPr>
          <w:szCs w:val="24"/>
          <w:lang w:eastAsia="bg-BG"/>
        </w:rPr>
      </w:pPr>
      <w:r w:rsidRPr="00496FD7">
        <w:rPr>
          <w:b/>
          <w:szCs w:val="24"/>
          <w:lang w:eastAsia="bg-BG"/>
        </w:rPr>
        <w:t xml:space="preserve">Забележка: </w:t>
      </w:r>
      <w:r w:rsidRPr="00496FD7">
        <w:rPr>
          <w:szCs w:val="24"/>
          <w:lang w:eastAsia="bg-BG"/>
        </w:rPr>
        <w:t>В Модул „Договори” на ИСУН 2020 се въвежда подробна информация за подписаните договори, както и за всички изменени</w:t>
      </w:r>
      <w:r w:rsidR="00774876" w:rsidRPr="00496FD7">
        <w:rPr>
          <w:szCs w:val="24"/>
          <w:lang w:eastAsia="bg-BG"/>
        </w:rPr>
        <w:t>я/ промени на договори (анекси)</w:t>
      </w:r>
      <w:r w:rsidRPr="00496FD7">
        <w:rPr>
          <w:b/>
          <w:szCs w:val="24"/>
          <w:lang w:eastAsia="bg-BG"/>
        </w:rPr>
        <w:t>.</w:t>
      </w:r>
      <w:r w:rsidRPr="00496FD7">
        <w:rPr>
          <w:szCs w:val="24"/>
          <w:lang w:eastAsia="bg-BG"/>
        </w:rPr>
        <w:t xml:space="preserve"> В този модул се поддържа пълната информация от формуляра за кандидатстване. Регистрацията на договор в системата „заключва” данните за съответното проектно предложение, така че те да не могат да бъдат редактирани или променяни.</w:t>
      </w:r>
    </w:p>
    <w:bookmarkEnd w:id="251"/>
    <w:p w:rsidR="007E360C" w:rsidRPr="00496FD7" w:rsidRDefault="007E360C" w:rsidP="007E360C">
      <w:pPr>
        <w:jc w:val="left"/>
        <w:rPr>
          <w:szCs w:val="24"/>
          <w:lang w:eastAsia="bg-BG"/>
        </w:rPr>
      </w:pPr>
    </w:p>
    <w:p w:rsidR="007E360C" w:rsidRPr="00496FD7" w:rsidRDefault="007E360C" w:rsidP="007E360C">
      <w:pPr>
        <w:tabs>
          <w:tab w:val="num" w:pos="709"/>
          <w:tab w:val="num" w:pos="1020"/>
        </w:tabs>
        <w:spacing w:before="134"/>
        <w:rPr>
          <w:szCs w:val="24"/>
          <w:lang w:eastAsia="bg-BG"/>
        </w:rPr>
      </w:pPr>
      <w:r w:rsidRPr="00496FD7">
        <w:rPr>
          <w:szCs w:val="24"/>
          <w:lang w:eastAsia="bg-BG"/>
        </w:rPr>
        <w:t xml:space="preserve">В </w:t>
      </w:r>
      <w:r w:rsidRPr="00496FD7">
        <w:rPr>
          <w:b/>
          <w:szCs w:val="24"/>
          <w:lang w:eastAsia="bg-BG"/>
        </w:rPr>
        <w:t xml:space="preserve">Модул “Договори” </w:t>
      </w:r>
      <w:r w:rsidRPr="00496FD7">
        <w:rPr>
          <w:szCs w:val="24"/>
          <w:lang w:eastAsia="bg-BG"/>
        </w:rPr>
        <w:t xml:space="preserve">на системата ИСУН 2020 се въвежда подробна информация за подписаните договори, както и за всички изменения/промени на договори (анекси). В този модул се поддържа пълната информация от формуляра за кандидатстване. Регистрацията на договор в системата „заключва” данните за съответното проектно предложение, така че те да не могат да бъдат редактирани или променяни. Системата поддържа функционалността за проверка на данните въведени за договори / анекси, както и ролята за потребител (служител от отдел „Програмиране“), който да извършва тези проверки. Така статусът на един договор може да бъде „проверен” или „непроверен”. Когато статусът на договор бъде променен на „проверен”, то въведените за договора данни се „заключват” и не могат да бъдат редактирани / променяни. Статусът на договор не може да бъде „проверен”, ако за този договор не са въведени всички задължителни данни. Всички данни налични в модул договори ще могат да бъдат използвани от другите модули на системата. </w:t>
      </w:r>
    </w:p>
    <w:p w:rsidR="007E360C" w:rsidRPr="00496FD7" w:rsidRDefault="007E360C" w:rsidP="007E360C">
      <w:pPr>
        <w:tabs>
          <w:tab w:val="num" w:pos="709"/>
          <w:tab w:val="num" w:pos="1020"/>
        </w:tabs>
        <w:spacing w:before="134"/>
        <w:rPr>
          <w:szCs w:val="24"/>
          <w:lang w:eastAsia="bg-BG"/>
        </w:rPr>
      </w:pPr>
      <w:r w:rsidRPr="00496FD7">
        <w:rPr>
          <w:szCs w:val="24"/>
          <w:lang w:eastAsia="bg-BG"/>
        </w:rPr>
        <w:t>Всички контролни листа, които се попълват в системата ИСУН 2020 в модул „Процедури“ и модул „Договори“ следва да съдържат в наименованието си номера на проектното предложение, генериран от системата ИСУН с цел улесняване на намирането на им в системата.</w:t>
      </w:r>
    </w:p>
    <w:p w:rsidR="007E360C" w:rsidRPr="00496FD7" w:rsidRDefault="007E360C" w:rsidP="007E360C">
      <w:pPr>
        <w:tabs>
          <w:tab w:val="num" w:pos="709"/>
          <w:tab w:val="num" w:pos="1020"/>
        </w:tabs>
        <w:spacing w:before="134"/>
        <w:rPr>
          <w:szCs w:val="24"/>
          <w:lang w:val="en-US" w:eastAsia="bg-BG"/>
        </w:rPr>
      </w:pPr>
    </w:p>
    <w:p w:rsidR="007E360C" w:rsidRPr="00496FD7" w:rsidRDefault="007E360C" w:rsidP="007E360C">
      <w:pPr>
        <w:jc w:val="left"/>
        <w:rPr>
          <w:szCs w:val="24"/>
          <w:lang w:eastAsia="bg-BG"/>
        </w:rPr>
      </w:pPr>
      <w:r w:rsidRPr="00496FD7">
        <w:rPr>
          <w:szCs w:val="24"/>
          <w:lang w:eastAsia="bg-BG"/>
        </w:rPr>
        <w:br w:type="page"/>
      </w:r>
    </w:p>
    <w:p w:rsidR="007E360C" w:rsidRPr="00496FD7" w:rsidRDefault="007E360C" w:rsidP="007E360C">
      <w:pPr>
        <w:jc w:val="left"/>
        <w:rPr>
          <w:szCs w:val="24"/>
          <w:lang w:eastAsia="bg-BG"/>
        </w:rPr>
      </w:pPr>
    </w:p>
    <w:p w:rsidR="007E360C" w:rsidRPr="00496FD7" w:rsidRDefault="007E360C" w:rsidP="007E360C">
      <w:pPr>
        <w:tabs>
          <w:tab w:val="left" w:pos="851"/>
        </w:tabs>
        <w:spacing w:before="120" w:after="120"/>
        <w:ind w:firstLine="709"/>
        <w:rPr>
          <w:szCs w:val="24"/>
          <w:lang w:eastAsia="bg-BG"/>
        </w:rPr>
      </w:pPr>
    </w:p>
    <w:p w:rsidR="007E360C" w:rsidRPr="00496FD7" w:rsidRDefault="007E360C" w:rsidP="007E360C">
      <w:pPr>
        <w:pStyle w:val="Style2"/>
        <w:rPr>
          <w:lang w:val="bg-BG" w:eastAsia="bg-BG"/>
        </w:rPr>
      </w:pPr>
      <w:bookmarkStart w:id="252" w:name="_Toc460251275"/>
      <w:bookmarkStart w:id="253" w:name="_Toc479775678"/>
      <w:bookmarkStart w:id="254" w:name="_Toc140150231"/>
      <w:bookmarkStart w:id="255" w:name="_Toc152769908"/>
      <w:r w:rsidRPr="00496FD7">
        <w:rPr>
          <w:lang w:val="bg-BG" w:eastAsia="bg-BG"/>
        </w:rPr>
        <w:t>Изменение на административен договор/заповед за предоставяне на безвъзмездна финансова помощ</w:t>
      </w:r>
      <w:bookmarkEnd w:id="252"/>
      <w:bookmarkEnd w:id="253"/>
      <w:bookmarkEnd w:id="254"/>
      <w:bookmarkEnd w:id="255"/>
    </w:p>
    <w:p w:rsidR="007E360C" w:rsidRPr="00496FD7" w:rsidRDefault="007E360C" w:rsidP="007E360C">
      <w:pPr>
        <w:pStyle w:val="Style3"/>
      </w:pPr>
      <w:bookmarkStart w:id="256" w:name="_Toc479775679"/>
      <w:r w:rsidRPr="00496FD7">
        <w:t>Общи правила за изменение/ промяна</w:t>
      </w:r>
      <w:bookmarkEnd w:id="256"/>
    </w:p>
    <w:p w:rsidR="007E360C" w:rsidRPr="00496FD7" w:rsidRDefault="007E360C" w:rsidP="00E80472">
      <w:pPr>
        <w:numPr>
          <w:ilvl w:val="0"/>
          <w:numId w:val="27"/>
        </w:numPr>
        <w:tabs>
          <w:tab w:val="num" w:pos="993"/>
        </w:tabs>
        <w:spacing w:before="134"/>
        <w:ind w:left="0" w:firstLine="567"/>
        <w:rPr>
          <w:szCs w:val="24"/>
          <w:lang w:eastAsia="bg-BG"/>
        </w:rPr>
      </w:pPr>
      <w:r w:rsidRPr="00496FD7">
        <w:rPr>
          <w:szCs w:val="24"/>
          <w:lang w:eastAsia="bg-BG"/>
        </w:rPr>
        <w:t>Принципна схема на процедурата за изменение на договор/заповед за предоставяне на безвъзмездна финансова помощ</w:t>
      </w:r>
    </w:p>
    <w:p w:rsidR="007E360C" w:rsidRPr="00496FD7" w:rsidRDefault="00C80F87" w:rsidP="007E360C">
      <w:pPr>
        <w:spacing w:before="134"/>
        <w:ind w:firstLine="0"/>
        <w:jc w:val="center"/>
        <w:rPr>
          <w:szCs w:val="24"/>
          <w:lang w:eastAsia="bg-BG"/>
        </w:rPr>
      </w:pPr>
      <w:r>
        <w:rPr>
          <w:noProof/>
          <w:lang w:val="en-US" w:eastAsia="en-US"/>
        </w:rPr>
        <mc:AlternateContent>
          <mc:Choice Requires="wps">
            <w:drawing>
              <wp:anchor distT="0" distB="0" distL="114300" distR="114300" simplePos="0" relativeHeight="251665408" behindDoc="0" locked="0" layoutInCell="1" allowOverlap="1" wp14:anchorId="613AD99D" wp14:editId="29BB5904">
                <wp:simplePos x="0" y="0"/>
                <wp:positionH relativeFrom="margin">
                  <wp:align>right</wp:align>
                </wp:positionH>
                <wp:positionV relativeFrom="paragraph">
                  <wp:posOffset>3806190</wp:posOffset>
                </wp:positionV>
                <wp:extent cx="2371725" cy="579120"/>
                <wp:effectExtent l="57150" t="38100" r="85725" b="87630"/>
                <wp:wrapNone/>
                <wp:docPr id="3" name="Rounded Rectangle 2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371725" cy="579120"/>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80F87" w:rsidRPr="002E7370" w:rsidRDefault="00C80F87" w:rsidP="00C80F87">
                            <w:pPr>
                              <w:ind w:firstLine="0"/>
                              <w:jc w:val="center"/>
                              <w:rPr>
                                <w:sz w:val="20"/>
                              </w:rPr>
                            </w:pPr>
                            <w:r>
                              <w:rPr>
                                <w:sz w:val="20"/>
                              </w:rPr>
                              <w:t>Връщане за корекция от Бенефициента</w:t>
                            </w:r>
                          </w:p>
                        </w:txbxContent>
                      </wps:txbx>
                      <wps:bodyPr rot="0" vert="horz" wrap="square" lIns="91440" tIns="45720" rIns="91440" bIns="45720" anchor="ctr" anchorCtr="0" upright="1">
                        <a:noAutofit/>
                      </wps:bodyPr>
                    </wps:wsp>
                  </a:graphicData>
                </a:graphic>
                <wp14:sizeRelH relativeFrom="margin">
                  <wp14:pctWidth>0</wp14:pctWidth>
                </wp14:sizeRelH>
              </wp:anchor>
            </w:drawing>
          </mc:Choice>
          <mc:Fallback>
            <w:pict>
              <v:roundrect w14:anchorId="613AD99D" id="Rounded Rectangle 2143" o:spid="_x0000_s1139" style="position:absolute;left:0;text-align:left;margin-left:135.55pt;margin-top:299.7pt;width:186.75pt;height:45.6pt;z-index:25166540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" fillcolor="#a3c4ff" strokecolor="#4a7ebb">
                <v:fill color2="#e5eeff" rotate="t" angle="180" colors="0 #a3c4ff;22938f #bfd5ff;1 #e5eeff" focus="100%" type="gradient"/>
                <v:shadow on="t" color="black" opacity="24903f" origin=",.5" offset="0,.55556mm"/>
                <v:path arrowok="t"/>
                <v:textbox>
                  <w:txbxContent>
                    <w:p w:rsidR="00C80F87" w:rsidRPr="002E7370" w:rsidRDefault="00C80F87" w:rsidP="00C80F87">
                      <w:pPr>
                        <w:ind w:firstLine="0"/>
                        <w:jc w:val="center"/>
                        <w:rPr>
                          <w:sz w:val="20"/>
                        </w:rPr>
                      </w:pPr>
                      <w:r>
                        <w:rPr>
                          <w:sz w:val="20"/>
                        </w:rPr>
                        <w:t>Връщане за корекция от Бенефициента</w:t>
                      </w:r>
                    </w:p>
                  </w:txbxContent>
                </v:textbox>
                <w10:wrap anchorx="margin"/>
              </v:roundrect>
            </w:pict>
          </mc:Fallback>
        </mc:AlternateContent>
      </w:r>
      <w:r w:rsidR="007E360C" w:rsidRPr="00496FD7">
        <w:rPr>
          <w:noProof/>
          <w:lang w:val="en-US" w:eastAsia="en-US"/>
        </w:rPr>
        <mc:AlternateContent>
          <mc:Choice Requires="wpg">
            <w:drawing>
              <wp:inline distT="0" distB="0" distL="0" distR="0" wp14:anchorId="430F3390" wp14:editId="3939E677">
                <wp:extent cx="5106670" cy="5447030"/>
                <wp:effectExtent l="57150" t="38100" r="74930" b="96520"/>
                <wp:docPr id="423" name="Group 9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06670" cy="5447030"/>
                          <a:chOff x="2000" y="4231"/>
                          <a:chExt cx="8042" cy="8578"/>
                        </a:xfrm>
                      </wpg:grpSpPr>
                      <wps:wsp>
                        <wps:cNvPr id="424" name="Bent-Up Arrow 2148"/>
                        <wps:cNvSpPr>
                          <a:spLocks/>
                        </wps:cNvSpPr>
                        <wps:spPr bwMode="auto">
                          <a:xfrm flipH="1" flipV="1">
                            <a:off x="3384" y="9248"/>
                            <a:ext cx="885" cy="667"/>
                          </a:xfrm>
                          <a:custGeom>
                            <a:avLst/>
                            <a:gdLst>
                              <a:gd name="T0" fmla="*/ 0 w 561975"/>
                              <a:gd name="T1" fmla="*/ 317659 h 423545"/>
                              <a:gd name="T2" fmla="*/ 403146 w 561975"/>
                              <a:gd name="T3" fmla="*/ 317659 h 423545"/>
                              <a:gd name="T4" fmla="*/ 403146 w 561975"/>
                              <a:gd name="T5" fmla="*/ 105886 h 423545"/>
                              <a:gd name="T6" fmla="*/ 350203 w 561975"/>
                              <a:gd name="T7" fmla="*/ 105886 h 423545"/>
                              <a:gd name="T8" fmla="*/ 456089 w 561975"/>
                              <a:gd name="T9" fmla="*/ 0 h 423545"/>
                              <a:gd name="T10" fmla="*/ 561975 w 561975"/>
                              <a:gd name="T11" fmla="*/ 105886 h 423545"/>
                              <a:gd name="T12" fmla="*/ 509032 w 561975"/>
                              <a:gd name="T13" fmla="*/ 105886 h 423545"/>
                              <a:gd name="T14" fmla="*/ 509032 w 561975"/>
                              <a:gd name="T15" fmla="*/ 423545 h 423545"/>
                              <a:gd name="T16" fmla="*/ 0 w 561975"/>
                              <a:gd name="T17" fmla="*/ 423545 h 423545"/>
                              <a:gd name="T18" fmla="*/ 0 w 561975"/>
                              <a:gd name="T19" fmla="*/ 317659 h 423545"/>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561975" h="423545">
                                <a:moveTo>
                                  <a:pt x="0" y="317659"/>
                                </a:moveTo>
                                <a:lnTo>
                                  <a:pt x="403146" y="317659"/>
                                </a:lnTo>
                                <a:lnTo>
                                  <a:pt x="403146" y="105886"/>
                                </a:lnTo>
                                <a:lnTo>
                                  <a:pt x="350203" y="105886"/>
                                </a:lnTo>
                                <a:lnTo>
                                  <a:pt x="456089" y="0"/>
                                </a:lnTo>
                                <a:lnTo>
                                  <a:pt x="561975" y="105886"/>
                                </a:lnTo>
                                <a:lnTo>
                                  <a:pt x="509032" y="105886"/>
                                </a:lnTo>
                                <a:lnTo>
                                  <a:pt x="509032" y="423545"/>
                                </a:lnTo>
                                <a:lnTo>
                                  <a:pt x="0" y="423545"/>
                                </a:lnTo>
                                <a:lnTo>
                                  <a:pt x="0" y="317659"/>
                                </a:lnTo>
                                <a:close/>
                              </a:path>
                            </a:pathLst>
                          </a:custGeom>
                          <a:solidFill>
                            <a:srgbClr val="4F81BD"/>
                          </a:solidFill>
                          <a:ln w="25400" cap="flat" cmpd="sng" algn="ctr">
                            <a:solidFill>
                              <a:srgbClr val="385D8A"/>
                            </a:solidFill>
                            <a:prstDash val="solid"/>
                            <a:round/>
                            <a:headEnd/>
                            <a:tailEnd/>
                          </a:ln>
                        </wps:spPr>
                        <wps:bodyPr rot="0" vert="horz" wrap="square" lIns="91440" tIns="45720" rIns="91440" bIns="45720" anchor="ctr" anchorCtr="0" upright="1">
                          <a:noAutofit/>
                        </wps:bodyPr>
                      </wps:wsp>
                      <wps:wsp>
                        <wps:cNvPr id="425" name="Text Box 2150"/>
                        <wps:cNvSpPr txBox="1">
                          <a:spLocks/>
                        </wps:cNvSpPr>
                        <wps:spPr bwMode="auto">
                          <a:xfrm>
                            <a:off x="3019" y="8978"/>
                            <a:ext cx="529" cy="353"/>
                          </a:xfrm>
                          <a:prstGeom prst="rect">
                            <a:avLst/>
                          </a:prstGeom>
                          <a:solidFill>
                            <a:srgbClr val="FFFFFF"/>
                          </a:solidFill>
                          <a:ln w="6350">
                            <a:solidFill>
                              <a:srgbClr val="FFFFFF"/>
                            </a:solidFill>
                            <a:miter lim="800000"/>
                            <a:headEnd/>
                            <a:tailEnd/>
                          </a:ln>
                        </wps:spPr>
                        <wps:txbx>
                          <w:txbxContent>
                            <w:p w:rsidR="00CD7E74" w:rsidRPr="002E7370" w:rsidRDefault="00CD7E74" w:rsidP="007E360C">
                              <w:pPr>
                                <w:ind w:firstLine="0"/>
                                <w:jc w:val="center"/>
                                <w:rPr>
                                  <w:sz w:val="20"/>
                                </w:rPr>
                              </w:pPr>
                              <w:r w:rsidRPr="002E7370">
                                <w:rPr>
                                  <w:sz w:val="20"/>
                                </w:rPr>
                                <w:t xml:space="preserve">Да </w:t>
                              </w:r>
                            </w:p>
                          </w:txbxContent>
                        </wps:txbx>
                        <wps:bodyPr rot="0" vert="horz" wrap="square" lIns="91440" tIns="45720" rIns="91440" bIns="45720" anchor="t" anchorCtr="0" upright="1">
                          <a:noAutofit/>
                        </wps:bodyPr>
                      </wps:wsp>
                      <wps:wsp>
                        <wps:cNvPr id="426" name="Text Box 2149"/>
                        <wps:cNvSpPr txBox="1">
                          <a:spLocks/>
                        </wps:cNvSpPr>
                        <wps:spPr bwMode="auto">
                          <a:xfrm>
                            <a:off x="8348" y="8999"/>
                            <a:ext cx="705" cy="353"/>
                          </a:xfrm>
                          <a:prstGeom prst="rect">
                            <a:avLst/>
                          </a:prstGeom>
                          <a:solidFill>
                            <a:srgbClr val="FFFFFF"/>
                          </a:solidFill>
                          <a:ln w="6350">
                            <a:solidFill>
                              <a:srgbClr val="FFFFFF"/>
                            </a:solidFill>
                            <a:miter lim="800000"/>
                            <a:headEnd/>
                            <a:tailEnd/>
                          </a:ln>
                        </wps:spPr>
                        <wps:txbx>
                          <w:txbxContent>
                            <w:p w:rsidR="00CD7E74" w:rsidRPr="002E7370" w:rsidRDefault="00CD7E74" w:rsidP="007E360C">
                              <w:pPr>
                                <w:ind w:firstLine="0"/>
                                <w:jc w:val="center"/>
                                <w:rPr>
                                  <w:sz w:val="20"/>
                                </w:rPr>
                              </w:pPr>
                              <w:r w:rsidRPr="002E7370">
                                <w:rPr>
                                  <w:sz w:val="20"/>
                                </w:rPr>
                                <w:t>Не</w:t>
                              </w:r>
                            </w:p>
                          </w:txbxContent>
                        </wps:txbx>
                        <wps:bodyPr rot="0" vert="horz" wrap="square" lIns="91440" tIns="45720" rIns="91440" bIns="45720" anchor="t" anchorCtr="0" upright="1">
                          <a:noAutofit/>
                        </wps:bodyPr>
                      </wps:wsp>
                      <wps:wsp>
                        <wps:cNvPr id="427" name="Bent-Up Arrow 2148"/>
                        <wps:cNvSpPr>
                          <a:spLocks/>
                        </wps:cNvSpPr>
                        <wps:spPr bwMode="auto">
                          <a:xfrm flipV="1">
                            <a:off x="8012" y="9352"/>
                            <a:ext cx="885" cy="667"/>
                          </a:xfrm>
                          <a:custGeom>
                            <a:avLst/>
                            <a:gdLst>
                              <a:gd name="T0" fmla="*/ 0 w 561975"/>
                              <a:gd name="T1" fmla="*/ 317659 h 423545"/>
                              <a:gd name="T2" fmla="*/ 403146 w 561975"/>
                              <a:gd name="T3" fmla="*/ 317659 h 423545"/>
                              <a:gd name="T4" fmla="*/ 403146 w 561975"/>
                              <a:gd name="T5" fmla="*/ 105886 h 423545"/>
                              <a:gd name="T6" fmla="*/ 350203 w 561975"/>
                              <a:gd name="T7" fmla="*/ 105886 h 423545"/>
                              <a:gd name="T8" fmla="*/ 456089 w 561975"/>
                              <a:gd name="T9" fmla="*/ 0 h 423545"/>
                              <a:gd name="T10" fmla="*/ 561975 w 561975"/>
                              <a:gd name="T11" fmla="*/ 105886 h 423545"/>
                              <a:gd name="T12" fmla="*/ 509032 w 561975"/>
                              <a:gd name="T13" fmla="*/ 105886 h 423545"/>
                              <a:gd name="T14" fmla="*/ 509032 w 561975"/>
                              <a:gd name="T15" fmla="*/ 423545 h 423545"/>
                              <a:gd name="T16" fmla="*/ 0 w 561975"/>
                              <a:gd name="T17" fmla="*/ 423545 h 423545"/>
                              <a:gd name="T18" fmla="*/ 0 w 561975"/>
                              <a:gd name="T19" fmla="*/ 317659 h 423545"/>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561975" h="423545">
                                <a:moveTo>
                                  <a:pt x="0" y="317659"/>
                                </a:moveTo>
                                <a:lnTo>
                                  <a:pt x="403146" y="317659"/>
                                </a:lnTo>
                                <a:lnTo>
                                  <a:pt x="403146" y="105886"/>
                                </a:lnTo>
                                <a:lnTo>
                                  <a:pt x="350203" y="105886"/>
                                </a:lnTo>
                                <a:lnTo>
                                  <a:pt x="456089" y="0"/>
                                </a:lnTo>
                                <a:lnTo>
                                  <a:pt x="561975" y="105886"/>
                                </a:lnTo>
                                <a:lnTo>
                                  <a:pt x="509032" y="105886"/>
                                </a:lnTo>
                                <a:lnTo>
                                  <a:pt x="509032" y="423545"/>
                                </a:lnTo>
                                <a:lnTo>
                                  <a:pt x="0" y="423545"/>
                                </a:lnTo>
                                <a:lnTo>
                                  <a:pt x="0" y="317659"/>
                                </a:lnTo>
                                <a:close/>
                              </a:path>
                            </a:pathLst>
                          </a:custGeom>
                          <a:solidFill>
                            <a:srgbClr val="4F81BD"/>
                          </a:solidFill>
                          <a:ln w="25400" cap="flat" cmpd="sng" algn="ctr">
                            <a:solidFill>
                              <a:srgbClr val="385D8A"/>
                            </a:solidFill>
                            <a:prstDash val="solid"/>
                            <a:round/>
                            <a:headEnd/>
                            <a:tailEnd/>
                          </a:ln>
                        </wps:spPr>
                        <wps:bodyPr rot="0" vert="horz" wrap="square" lIns="91440" tIns="45720" rIns="91440" bIns="45720" anchor="ctr" anchorCtr="0" upright="1">
                          <a:noAutofit/>
                        </wps:bodyPr>
                      </wps:wsp>
                      <wps:wsp>
                        <wps:cNvPr id="428" name="Rounded Rectangle 2133"/>
                        <wps:cNvSpPr>
                          <a:spLocks/>
                        </wps:cNvSpPr>
                        <wps:spPr bwMode="auto">
                          <a:xfrm>
                            <a:off x="2000" y="5652"/>
                            <a:ext cx="3402" cy="733"/>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2E7370" w:rsidRDefault="00CD7E74" w:rsidP="007E360C">
                              <w:pPr>
                                <w:ind w:firstLine="0"/>
                                <w:jc w:val="center"/>
                                <w:rPr>
                                  <w:sz w:val="20"/>
                                </w:rPr>
                              </w:pPr>
                              <w:r w:rsidRPr="002E7370">
                                <w:rPr>
                                  <w:sz w:val="20"/>
                                </w:rPr>
                                <w:t>Договор за БФП</w:t>
                              </w:r>
                            </w:p>
                          </w:txbxContent>
                        </wps:txbx>
                        <wps:bodyPr rot="0" vert="horz" wrap="square" lIns="91440" tIns="45720" rIns="91440" bIns="45720" anchor="ctr" anchorCtr="0" upright="1">
                          <a:noAutofit/>
                        </wps:bodyPr>
                      </wps:wsp>
                      <wps:wsp>
                        <wps:cNvPr id="429" name="Rounded Rectangle 2134"/>
                        <wps:cNvSpPr>
                          <a:spLocks/>
                        </wps:cNvSpPr>
                        <wps:spPr bwMode="auto">
                          <a:xfrm>
                            <a:off x="6535" y="5652"/>
                            <a:ext cx="3402" cy="734"/>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2E7370" w:rsidRDefault="00CD7E74" w:rsidP="007E360C">
                              <w:pPr>
                                <w:ind w:firstLine="0"/>
                                <w:jc w:val="center"/>
                                <w:rPr>
                                  <w:sz w:val="20"/>
                                </w:rPr>
                              </w:pPr>
                              <w:r w:rsidRPr="002E7370">
                                <w:rPr>
                                  <w:sz w:val="20"/>
                                </w:rPr>
                                <w:t xml:space="preserve">Заповед за БФП (в случай, че бенефициент е УО на </w:t>
                              </w:r>
                              <w:r>
                                <w:rPr>
                                  <w:sz w:val="20"/>
                                </w:rPr>
                                <w:t>ПТС</w:t>
                              </w:r>
                              <w:r w:rsidRPr="002E7370">
                                <w:rPr>
                                  <w:sz w:val="20"/>
                                </w:rPr>
                                <w:t>)</w:t>
                              </w:r>
                            </w:p>
                            <w:p w:rsidR="00CD7E74" w:rsidRPr="002E7370" w:rsidRDefault="00CD7E74" w:rsidP="007E360C">
                              <w:pPr>
                                <w:ind w:firstLine="0"/>
                                <w:jc w:val="center"/>
                                <w:rPr>
                                  <w:sz w:val="20"/>
                                </w:rPr>
                              </w:pPr>
                            </w:p>
                          </w:txbxContent>
                        </wps:txbx>
                        <wps:bodyPr rot="0" vert="horz" wrap="square" lIns="91440" tIns="45720" rIns="91440" bIns="45720" anchor="ctr" anchorCtr="0" upright="1">
                          <a:noAutofit/>
                        </wps:bodyPr>
                      </wps:wsp>
                      <wps:wsp>
                        <wps:cNvPr id="430" name="Rounded Rectangle 2135"/>
                        <wps:cNvSpPr>
                          <a:spLocks/>
                        </wps:cNvSpPr>
                        <wps:spPr bwMode="auto">
                          <a:xfrm>
                            <a:off x="5255" y="6748"/>
                            <a:ext cx="4712" cy="1128"/>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2E7370" w:rsidRDefault="00CD7E74" w:rsidP="007E360C">
                              <w:pPr>
                                <w:ind w:firstLine="0"/>
                                <w:jc w:val="center"/>
                                <w:rPr>
                                  <w:sz w:val="20"/>
                                </w:rPr>
                              </w:pPr>
                              <w:r w:rsidRPr="002E7370">
                                <w:rPr>
                                  <w:sz w:val="20"/>
                                </w:rPr>
                                <w:t>Доклад от Ръководител ЗИП</w:t>
                              </w:r>
                              <w:r>
                                <w:rPr>
                                  <w:sz w:val="20"/>
                                </w:rPr>
                                <w:t>/Началник на отдел „Информация,</w:t>
                              </w:r>
                              <w:r w:rsidRPr="00774876">
                                <w:t xml:space="preserve"> </w:t>
                              </w:r>
                              <w:r w:rsidRPr="00774876">
                                <w:rPr>
                                  <w:sz w:val="20"/>
                                </w:rPr>
                                <w:t>публичност и техническа помощ</w:t>
                              </w:r>
                              <w:r>
                                <w:rPr>
                                  <w:sz w:val="20"/>
                                </w:rPr>
                                <w:t xml:space="preserve"> “</w:t>
                              </w:r>
                            </w:p>
                            <w:p w:rsidR="00CD7E74" w:rsidRPr="002E7370" w:rsidRDefault="00CD7E74" w:rsidP="007E360C">
                              <w:pPr>
                                <w:ind w:firstLine="0"/>
                                <w:jc w:val="center"/>
                                <w:rPr>
                                  <w:sz w:val="20"/>
                                </w:rPr>
                              </w:pPr>
                            </w:p>
                          </w:txbxContent>
                        </wps:txbx>
                        <wps:bodyPr rot="0" vert="horz" wrap="square" lIns="91440" tIns="45720" rIns="91440" bIns="45720" anchor="ctr" anchorCtr="0" upright="1">
                          <a:noAutofit/>
                        </wps:bodyPr>
                      </wps:wsp>
                      <wps:wsp>
                        <wps:cNvPr id="431" name="Down Arrow 2136"/>
                        <wps:cNvSpPr>
                          <a:spLocks/>
                        </wps:cNvSpPr>
                        <wps:spPr bwMode="auto">
                          <a:xfrm>
                            <a:off x="8039" y="6494"/>
                            <a:ext cx="393" cy="203"/>
                          </a:xfrm>
                          <a:prstGeom prst="downArrow">
                            <a:avLst>
                              <a:gd name="adj1" fmla="val 50000"/>
                              <a:gd name="adj2" fmla="val 50000"/>
                            </a:avLst>
                          </a:prstGeom>
                          <a:solidFill>
                            <a:srgbClr val="4F81BD"/>
                          </a:solidFill>
                          <a:ln w="25400" algn="ctr">
                            <a:solidFill>
                              <a:srgbClr val="385D8A"/>
                            </a:solidFill>
                            <a:miter lim="800000"/>
                            <a:headEnd/>
                            <a:tailEnd/>
                          </a:ln>
                        </wps:spPr>
                        <wps:bodyPr rot="0" vert="horz" wrap="square" lIns="91440" tIns="45720" rIns="91440" bIns="45720" anchor="ctr" anchorCtr="0" upright="1">
                          <a:noAutofit/>
                        </wps:bodyPr>
                      </wps:wsp>
                      <wps:wsp>
                        <wps:cNvPr id="432" name="Down Arrow 2137"/>
                        <wps:cNvSpPr>
                          <a:spLocks/>
                        </wps:cNvSpPr>
                        <wps:spPr bwMode="auto">
                          <a:xfrm>
                            <a:off x="3504" y="6531"/>
                            <a:ext cx="393" cy="1155"/>
                          </a:xfrm>
                          <a:prstGeom prst="downArrow">
                            <a:avLst>
                              <a:gd name="adj1" fmla="val 50000"/>
                              <a:gd name="adj2" fmla="val 50003"/>
                            </a:avLst>
                          </a:prstGeom>
                          <a:solidFill>
                            <a:srgbClr val="4F81BD"/>
                          </a:solidFill>
                          <a:ln w="25400" algn="ctr">
                            <a:solidFill>
                              <a:srgbClr val="385D8A"/>
                            </a:solidFill>
                            <a:miter lim="800000"/>
                            <a:headEnd/>
                            <a:tailEnd/>
                          </a:ln>
                        </wps:spPr>
                        <wps:bodyPr rot="0" vert="horz" wrap="square" lIns="91440" tIns="45720" rIns="91440" bIns="45720" anchor="ctr" anchorCtr="0" upright="1">
                          <a:noAutofit/>
                        </wps:bodyPr>
                      </wps:wsp>
                      <wps:wsp>
                        <wps:cNvPr id="433" name="Rounded Rectangle 248"/>
                        <wps:cNvSpPr>
                          <a:spLocks/>
                        </wps:cNvSpPr>
                        <wps:spPr bwMode="auto">
                          <a:xfrm>
                            <a:off x="2000" y="4231"/>
                            <a:ext cx="7937" cy="691"/>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2E7370" w:rsidRDefault="00CD7E74" w:rsidP="007E360C">
                              <w:pPr>
                                <w:ind w:firstLine="0"/>
                                <w:jc w:val="center"/>
                                <w:rPr>
                                  <w:sz w:val="20"/>
                                </w:rPr>
                              </w:pPr>
                              <w:r w:rsidRPr="002E7370">
                                <w:rPr>
                                  <w:sz w:val="20"/>
                                </w:rPr>
                                <w:t>Възниква необходимост от изменение/промяна на условията на предоставената помощ</w:t>
                              </w:r>
                            </w:p>
                          </w:txbxContent>
                        </wps:txbx>
                        <wps:bodyPr rot="0" vert="horz" wrap="square" lIns="91440" tIns="45720" rIns="91440" bIns="45720" anchor="ctr" anchorCtr="0" upright="1">
                          <a:noAutofit/>
                        </wps:bodyPr>
                      </wps:wsp>
                      <wps:wsp>
                        <wps:cNvPr id="434" name="Down Arrow 249"/>
                        <wps:cNvSpPr>
                          <a:spLocks/>
                        </wps:cNvSpPr>
                        <wps:spPr bwMode="auto">
                          <a:xfrm>
                            <a:off x="5772" y="5001"/>
                            <a:ext cx="393" cy="203"/>
                          </a:xfrm>
                          <a:prstGeom prst="downArrow">
                            <a:avLst>
                              <a:gd name="adj1" fmla="val 50000"/>
                              <a:gd name="adj2" fmla="val 50000"/>
                            </a:avLst>
                          </a:prstGeom>
                          <a:solidFill>
                            <a:srgbClr val="4F81BD"/>
                          </a:solidFill>
                          <a:ln w="25400" algn="ctr">
                            <a:solidFill>
                              <a:srgbClr val="385D8A"/>
                            </a:solidFill>
                            <a:miter lim="800000"/>
                            <a:headEnd/>
                            <a:tailEnd/>
                          </a:ln>
                        </wps:spPr>
                        <wps:bodyPr rot="0" vert="horz" wrap="square" lIns="91440" tIns="45720" rIns="91440" bIns="45720" anchor="ctr" anchorCtr="0" upright="1">
                          <a:noAutofit/>
                        </wps:bodyPr>
                      </wps:wsp>
                      <wps:wsp>
                        <wps:cNvPr id="435" name="Text Box 250"/>
                        <wps:cNvSpPr txBox="1">
                          <a:spLocks/>
                        </wps:cNvSpPr>
                        <wps:spPr bwMode="auto">
                          <a:xfrm>
                            <a:off x="4644" y="5248"/>
                            <a:ext cx="2649" cy="353"/>
                          </a:xfrm>
                          <a:prstGeom prst="rect">
                            <a:avLst/>
                          </a:prstGeom>
                          <a:solidFill>
                            <a:srgbClr val="FFFFFF"/>
                          </a:solidFill>
                          <a:ln w="6350">
                            <a:solidFill>
                              <a:srgbClr val="FFFFFF"/>
                            </a:solidFill>
                            <a:miter lim="800000"/>
                            <a:headEnd/>
                            <a:tailEnd/>
                          </a:ln>
                        </wps:spPr>
                        <wps:txbx>
                          <w:txbxContent>
                            <w:p w:rsidR="00CD7E74" w:rsidRPr="002E7370" w:rsidRDefault="00CD7E74" w:rsidP="007E360C">
                              <w:pPr>
                                <w:ind w:firstLine="0"/>
                                <w:jc w:val="center"/>
                                <w:rPr>
                                  <w:sz w:val="20"/>
                                </w:rPr>
                              </w:pPr>
                              <w:r w:rsidRPr="002E7370">
                                <w:rPr>
                                  <w:sz w:val="20"/>
                                </w:rPr>
                                <w:t>БФП е предоставена чрез:</w:t>
                              </w:r>
                            </w:p>
                          </w:txbxContent>
                        </wps:txbx>
                        <wps:bodyPr rot="0" vert="horz" wrap="square" lIns="91440" tIns="45720" rIns="91440" bIns="45720" anchor="t" anchorCtr="0" upright="1">
                          <a:noAutofit/>
                        </wps:bodyPr>
                      </wps:wsp>
                      <wps:wsp>
                        <wps:cNvPr id="436" name="Rounded Rectangle 2142"/>
                        <wps:cNvSpPr>
                          <a:spLocks/>
                        </wps:cNvSpPr>
                        <wps:spPr bwMode="auto">
                          <a:xfrm>
                            <a:off x="2105" y="7951"/>
                            <a:ext cx="7937" cy="683"/>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2E7370" w:rsidRDefault="00CD7E74" w:rsidP="007E360C">
                              <w:pPr>
                                <w:ind w:firstLine="0"/>
                                <w:jc w:val="center"/>
                                <w:rPr>
                                  <w:sz w:val="20"/>
                                </w:rPr>
                              </w:pPr>
                              <w:r>
                                <w:rPr>
                                  <w:sz w:val="20"/>
                                </w:rPr>
                                <w:t xml:space="preserve">Извършена промяна/ изменение на договора за БФП от Бенефициента и </w:t>
                              </w:r>
                              <w:r w:rsidRPr="002E7370">
                                <w:rPr>
                                  <w:sz w:val="20"/>
                                </w:rPr>
                                <w:t xml:space="preserve">Писмо до УО на </w:t>
                              </w:r>
                              <w:r>
                                <w:rPr>
                                  <w:sz w:val="20"/>
                                </w:rPr>
                                <w:t>ПТС</w:t>
                              </w:r>
                              <w:r w:rsidRPr="002E7370">
                                <w:rPr>
                                  <w:sz w:val="20"/>
                                </w:rPr>
                                <w:t xml:space="preserve"> с обосновка за изменение/промяна</w:t>
                              </w:r>
                            </w:p>
                          </w:txbxContent>
                        </wps:txbx>
                        <wps:bodyPr rot="0" vert="horz" wrap="square" lIns="91440" tIns="45720" rIns="91440" bIns="45720" anchor="ctr" anchorCtr="0" upright="1">
                          <a:noAutofit/>
                        </wps:bodyPr>
                      </wps:wsp>
                      <wps:wsp>
                        <wps:cNvPr id="437" name="Rounded Rectangle 2143"/>
                        <wps:cNvSpPr>
                          <a:spLocks/>
                        </wps:cNvSpPr>
                        <wps:spPr bwMode="auto">
                          <a:xfrm>
                            <a:off x="2000" y="9949"/>
                            <a:ext cx="4050" cy="912"/>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2E7370" w:rsidRDefault="00CD7E74" w:rsidP="007E360C">
                              <w:pPr>
                                <w:ind w:firstLine="0"/>
                                <w:jc w:val="center"/>
                                <w:rPr>
                                  <w:sz w:val="20"/>
                                </w:rPr>
                              </w:pPr>
                              <w:r w:rsidRPr="002E7370">
                                <w:rPr>
                                  <w:sz w:val="20"/>
                                </w:rPr>
                                <w:t xml:space="preserve">Доклад до Ръководителя на УО на </w:t>
                              </w:r>
                              <w:r>
                                <w:rPr>
                                  <w:sz w:val="20"/>
                                </w:rPr>
                                <w:t>ПТС</w:t>
                              </w:r>
                              <w:r w:rsidRPr="002E7370">
                                <w:rPr>
                                  <w:sz w:val="20"/>
                                </w:rPr>
                                <w:t>, мотивиращ изменението</w:t>
                              </w:r>
                            </w:p>
                          </w:txbxContent>
                        </wps:txbx>
                        <wps:bodyPr rot="0" vert="horz" wrap="square" lIns="91440" tIns="45720" rIns="91440" bIns="45720" anchor="ctr" anchorCtr="0" upright="1">
                          <a:noAutofit/>
                        </wps:bodyPr>
                      </wps:wsp>
                      <wps:wsp>
                        <wps:cNvPr id="438" name="Down Arrow 2144"/>
                        <wps:cNvSpPr>
                          <a:spLocks/>
                        </wps:cNvSpPr>
                        <wps:spPr bwMode="auto">
                          <a:xfrm>
                            <a:off x="5817" y="8561"/>
                            <a:ext cx="393" cy="438"/>
                          </a:xfrm>
                          <a:prstGeom prst="downArrow">
                            <a:avLst>
                              <a:gd name="adj1" fmla="val 50000"/>
                              <a:gd name="adj2" fmla="val 50000"/>
                            </a:avLst>
                          </a:prstGeom>
                          <a:solidFill>
                            <a:srgbClr val="4F81BD"/>
                          </a:solidFill>
                          <a:ln w="25400" algn="ctr">
                            <a:solidFill>
                              <a:srgbClr val="385D8A"/>
                            </a:solidFill>
                            <a:miter lim="800000"/>
                            <a:headEnd/>
                            <a:tailEnd/>
                          </a:ln>
                        </wps:spPr>
                        <wps:bodyPr rot="0" vert="horz" wrap="square" lIns="91440" tIns="45720" rIns="91440" bIns="45720" anchor="ctr" anchorCtr="0" upright="1">
                          <a:noAutofit/>
                        </wps:bodyPr>
                      </wps:wsp>
                      <wps:wsp>
                        <wps:cNvPr id="439" name="Down Arrow 2145"/>
                        <wps:cNvSpPr>
                          <a:spLocks/>
                        </wps:cNvSpPr>
                        <wps:spPr bwMode="auto">
                          <a:xfrm>
                            <a:off x="3504" y="11056"/>
                            <a:ext cx="393" cy="203"/>
                          </a:xfrm>
                          <a:prstGeom prst="downArrow">
                            <a:avLst>
                              <a:gd name="adj1" fmla="val 50000"/>
                              <a:gd name="adj2" fmla="val 50000"/>
                            </a:avLst>
                          </a:prstGeom>
                          <a:solidFill>
                            <a:srgbClr val="4F81BD"/>
                          </a:solidFill>
                          <a:ln w="25400" algn="ctr">
                            <a:solidFill>
                              <a:srgbClr val="385D8A"/>
                            </a:solidFill>
                            <a:miter lim="800000"/>
                            <a:headEnd/>
                            <a:tailEnd/>
                          </a:ln>
                        </wps:spPr>
                        <wps:bodyPr rot="0" vert="horz" wrap="square" lIns="91440" tIns="45720" rIns="91440" bIns="45720" anchor="ctr" anchorCtr="0" upright="1">
                          <a:noAutofit/>
                        </wps:bodyPr>
                      </wps:wsp>
                      <wps:wsp>
                        <wps:cNvPr id="440" name="Oval 2146"/>
                        <wps:cNvSpPr>
                          <a:spLocks/>
                        </wps:cNvSpPr>
                        <wps:spPr bwMode="auto">
                          <a:xfrm>
                            <a:off x="4241" y="8878"/>
                            <a:ext cx="3729" cy="910"/>
                          </a:xfrm>
                          <a:prstGeom prst="ellipse">
                            <a:avLst/>
                          </a:prstGeom>
                          <a:solidFill>
                            <a:srgbClr val="FFFFFF"/>
                          </a:solidFill>
                          <a:ln w="25400" algn="ctr">
                            <a:solidFill>
                              <a:srgbClr val="4F81BD"/>
                            </a:solidFill>
                            <a:round/>
                            <a:headEnd/>
                            <a:tailEnd/>
                          </a:ln>
                        </wps:spPr>
                        <wps:txbx>
                          <w:txbxContent>
                            <w:p w:rsidR="00CD7E74" w:rsidRPr="002E7370" w:rsidRDefault="00CD7E74" w:rsidP="007E360C">
                              <w:pPr>
                                <w:ind w:firstLine="0"/>
                                <w:jc w:val="center"/>
                                <w:rPr>
                                  <w:sz w:val="20"/>
                                </w:rPr>
                              </w:pPr>
                              <w:r w:rsidRPr="002E7370">
                                <w:rPr>
                                  <w:sz w:val="20"/>
                                </w:rPr>
                                <w:t>Отговаря ли на условията за изменение</w:t>
                              </w:r>
                              <w:r w:rsidR="00C80F87">
                                <w:rPr>
                                  <w:sz w:val="20"/>
                                </w:rPr>
                                <w:t>/промяна</w:t>
                              </w:r>
                            </w:p>
                          </w:txbxContent>
                        </wps:txbx>
                        <wps:bodyPr rot="0" vert="horz" wrap="square" lIns="91440" tIns="45720" rIns="91440" bIns="45720" anchor="ctr" anchorCtr="0" upright="1">
                          <a:noAutofit/>
                        </wps:bodyPr>
                      </wps:wsp>
                      <wps:wsp>
                        <wps:cNvPr id="441" name="Rounded Rectangle 2139"/>
                        <wps:cNvSpPr>
                          <a:spLocks/>
                        </wps:cNvSpPr>
                        <wps:spPr bwMode="auto">
                          <a:xfrm>
                            <a:off x="2000" y="11392"/>
                            <a:ext cx="3402" cy="1417"/>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2E7370" w:rsidRDefault="00CD7E74" w:rsidP="007E360C">
                              <w:pPr>
                                <w:ind w:firstLine="0"/>
                                <w:jc w:val="center"/>
                                <w:rPr>
                                  <w:sz w:val="20"/>
                                </w:rPr>
                              </w:pPr>
                              <w:r w:rsidRPr="002E7370">
                                <w:rPr>
                                  <w:sz w:val="20"/>
                                </w:rPr>
                                <w:t xml:space="preserve">Изменение чрез, Анекс на Договор за БФП/ Заповед за изменение на Заповед за БФП (в случай, че бенефициент е УО на </w:t>
                              </w:r>
                              <w:r>
                                <w:rPr>
                                  <w:sz w:val="20"/>
                                </w:rPr>
                                <w:t>ПТС</w:t>
                              </w:r>
                              <w:r w:rsidRPr="002E7370">
                                <w:rPr>
                                  <w:sz w:val="20"/>
                                </w:rPr>
                                <w:t>)</w:t>
                              </w:r>
                            </w:p>
                            <w:p w:rsidR="00CD7E74" w:rsidRPr="002E7370" w:rsidRDefault="00CD7E74" w:rsidP="007E360C">
                              <w:pPr>
                                <w:ind w:firstLine="0"/>
                                <w:jc w:val="center"/>
                                <w:rPr>
                                  <w:sz w:val="20"/>
                                </w:rPr>
                              </w:pPr>
                            </w:p>
                            <w:p w:rsidR="00CD7E74" w:rsidRPr="002E7370" w:rsidRDefault="00CD7E74" w:rsidP="007E360C">
                              <w:pPr>
                                <w:ind w:firstLine="0"/>
                                <w:jc w:val="center"/>
                                <w:rPr>
                                  <w:sz w:val="20"/>
                                </w:rPr>
                              </w:pPr>
                            </w:p>
                          </w:txbxContent>
                        </wps:txbx>
                        <wps:bodyPr rot="0" vert="horz" wrap="square" lIns="91440" tIns="45720" rIns="91440" bIns="45720" anchor="ctr" anchorCtr="0" upright="1">
                          <a:noAutofit/>
                        </wps:bodyPr>
                      </wps:wsp>
                      <wps:wsp>
                        <wps:cNvPr id="442" name="Rounded Rectangle 2140"/>
                        <wps:cNvSpPr>
                          <a:spLocks/>
                        </wps:cNvSpPr>
                        <wps:spPr bwMode="auto">
                          <a:xfrm>
                            <a:off x="6535" y="11392"/>
                            <a:ext cx="3402" cy="1417"/>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2E7370" w:rsidRDefault="00CD7E74" w:rsidP="007E360C">
                              <w:pPr>
                                <w:ind w:firstLine="0"/>
                                <w:jc w:val="center"/>
                                <w:rPr>
                                  <w:sz w:val="20"/>
                                </w:rPr>
                              </w:pPr>
                              <w:r w:rsidRPr="002E7370">
                                <w:rPr>
                                  <w:sz w:val="20"/>
                                </w:rPr>
                                <w:t xml:space="preserve">Промяна на Договор за БФП /Заповед за изменение на Заповед за БФП (в случай, че бенефициент е УО на </w:t>
                              </w:r>
                              <w:r>
                                <w:rPr>
                                  <w:sz w:val="20"/>
                                </w:rPr>
                                <w:t>ПТС</w:t>
                              </w:r>
                              <w:r w:rsidRPr="002E7370">
                                <w:rPr>
                                  <w:sz w:val="20"/>
                                </w:rPr>
                                <w:t>)</w:t>
                              </w:r>
                            </w:p>
                            <w:p w:rsidR="00CD7E74" w:rsidRPr="002E7370" w:rsidRDefault="00CD7E74" w:rsidP="007E360C">
                              <w:pPr>
                                <w:ind w:firstLine="0"/>
                                <w:jc w:val="center"/>
                                <w:rPr>
                                  <w:sz w:val="20"/>
                                </w:rPr>
                              </w:pPr>
                            </w:p>
                          </w:txbxContent>
                        </wps:txbx>
                        <wps:bodyPr rot="0" vert="horz" wrap="square" lIns="91440" tIns="45720" rIns="91440" bIns="45720" anchor="ctr" anchorCtr="0" upright="1">
                          <a:noAutofit/>
                        </wps:bodyPr>
                      </wps:wsp>
                    </wpg:wgp>
                  </a:graphicData>
                </a:graphic>
              </wp:inline>
            </w:drawing>
          </mc:Choice>
          <mc:Fallback>
            <w:pict>
              <v:group w14:anchorId="430F3390" id="Group 906" o:spid="_x0000_s1140" style="width:402.1pt;height:428.9pt;mso-position-horizontal-relative:char;mso-position-vertical-relative:line" coordorigin="2000,4231" coordsize="8042,8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">
                <v:shape id="Bent-Up Arrow 2148" o:spid="_x0000_s1141" style="position:absolute;left:3384;top:9248;width:885;height:667;flip:x y;visibility:visible;mso-wrap-style:square;v-text-anchor:middle" coordsize="561975,423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" path="m,317659r403146,l403146,105886r-52943,l456089,,561975,105886r-52943,l509032,423545,,423545,,317659xe" fillcolor="#4f81bd" strokecolor="#385d8a" strokeweight="2pt">
                  <v:path arrowok="t" o:connecttype="custom" o:connectlocs="0,500;635,500;635,167;552,167;718,0;885,167;802,167;802,667;0,667;0,500" o:connectangles="0,0,0,0,0,0,0,0,0,0"/>
                </v:shape>
                <v:shape id="Text Box 2150" o:spid="_x0000_s1142" type="#_x0000_t202" style="position:absolute;left:3019;top:8978;width:529;height: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" strokecolor="white" strokeweight=".5pt">
                  <v:path arrowok="t"/>
                  <v:textbox>
                    <w:txbxContent>
                      <w:p w:rsidR="00CD7E74" w:rsidRPr="002E7370" w:rsidRDefault="00CD7E74" w:rsidP="007E360C">
                        <w:pPr>
                          <w:ind w:firstLine="0"/>
                          <w:jc w:val="center"/>
                          <w:rPr>
                            <w:sz w:val="20"/>
                          </w:rPr>
                        </w:pPr>
                        <w:r w:rsidRPr="002E7370">
                          <w:rPr>
                            <w:sz w:val="20"/>
                          </w:rPr>
                          <w:t xml:space="preserve">Да </w:t>
                        </w:r>
                      </w:p>
                    </w:txbxContent>
                  </v:textbox>
                </v:shape>
                <v:shape id="Text Box 2149" o:spid="_x0000_s1143" type="#_x0000_t202" style="position:absolute;left:8348;top:8999;width:705;height: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" strokecolor="white" strokeweight=".5pt">
                  <v:path arrowok="t"/>
                  <v:textbox>
                    <w:txbxContent>
                      <w:p w:rsidR="00CD7E74" w:rsidRPr="002E7370" w:rsidRDefault="00CD7E74" w:rsidP="007E360C">
                        <w:pPr>
                          <w:ind w:firstLine="0"/>
                          <w:jc w:val="center"/>
                          <w:rPr>
                            <w:sz w:val="20"/>
                          </w:rPr>
                        </w:pPr>
                        <w:r w:rsidRPr="002E7370">
                          <w:rPr>
                            <w:sz w:val="20"/>
                          </w:rPr>
                          <w:t>Не</w:t>
                        </w:r>
                      </w:p>
                    </w:txbxContent>
                  </v:textbox>
                </v:shape>
                <v:shape id="Bent-Up Arrow 2148" o:spid="_x0000_s1144" style="position:absolute;left:8012;top:9352;width:885;height:667;flip:y;visibility:visible;mso-wrap-style:square;v-text-anchor:middle" coordsize="561975,423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" path="m,317659r403146,l403146,105886r-52943,l456089,,561975,105886r-52943,l509032,423545,,423545,,317659xe" fillcolor="#4f81bd" strokecolor="#385d8a" strokeweight="2pt">
                  <v:path arrowok="t" o:connecttype="custom" o:connectlocs="0,500;635,500;635,167;552,167;718,0;885,167;802,167;802,667;0,667;0,500" o:connectangles="0,0,0,0,0,0,0,0,0,0"/>
                </v:shape>
                <v:roundrect id="Rounded Rectangle 2133" o:spid="_x0000_s1145" style="position:absolute;left:2000;top:5652;width:3402;height:73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" fillcolor="#a3c4ff" strokecolor="#4a7ebb">
                  <v:fill color2="#e5eeff" rotate="t" angle="180" colors="0 #a3c4ff;22938f #bfd5ff;1 #e5eeff" focus="100%" type="gradient"/>
                  <v:shadow on="t" color="black" opacity="24903f" origin=",.5" offset="0,.55556mm"/>
                  <v:path arrowok="t"/>
                  <v:textbox>
                    <w:txbxContent>
                      <w:p w:rsidR="00CD7E74" w:rsidRPr="002E7370" w:rsidRDefault="00CD7E74" w:rsidP="007E360C">
                        <w:pPr>
                          <w:ind w:firstLine="0"/>
                          <w:jc w:val="center"/>
                          <w:rPr>
                            <w:sz w:val="20"/>
                          </w:rPr>
                        </w:pPr>
                        <w:r w:rsidRPr="002E7370">
                          <w:rPr>
                            <w:sz w:val="20"/>
                          </w:rPr>
                          <w:t>Договор за БФП</w:t>
                        </w:r>
                      </w:p>
                    </w:txbxContent>
                  </v:textbox>
                </v:roundrect>
                <v:roundrect id="Rounded Rectangle 2134" o:spid="_x0000_s1146" style="position:absolute;left:6535;top:5652;width:3402;height:7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" fillcolor="#a3c4ff" strokecolor="#4a7ebb">
                  <v:fill color2="#e5eeff" rotate="t" angle="180" colors="0 #a3c4ff;22938f #bfd5ff;1 #e5eeff" focus="100%" type="gradient"/>
                  <v:shadow on="t" color="black" opacity="24903f" origin=",.5" offset="0,.55556mm"/>
                  <v:path arrowok="t"/>
                  <v:textbox>
                    <w:txbxContent>
                      <w:p w:rsidR="00CD7E74" w:rsidRPr="002E7370" w:rsidRDefault="00CD7E74" w:rsidP="007E360C">
                        <w:pPr>
                          <w:ind w:firstLine="0"/>
                          <w:jc w:val="center"/>
                          <w:rPr>
                            <w:sz w:val="20"/>
                          </w:rPr>
                        </w:pPr>
                        <w:r w:rsidRPr="002E7370">
                          <w:rPr>
                            <w:sz w:val="20"/>
                          </w:rPr>
                          <w:t xml:space="preserve">Заповед за БФП (в случай, че бенефициент е УО на </w:t>
                        </w:r>
                        <w:r>
                          <w:rPr>
                            <w:sz w:val="20"/>
                          </w:rPr>
                          <w:t>ПТС</w:t>
                        </w:r>
                        <w:r w:rsidRPr="002E7370">
                          <w:rPr>
                            <w:sz w:val="20"/>
                          </w:rPr>
                          <w:t>)</w:t>
                        </w:r>
                      </w:p>
                      <w:p w:rsidR="00CD7E74" w:rsidRPr="002E7370" w:rsidRDefault="00CD7E74" w:rsidP="007E360C">
                        <w:pPr>
                          <w:ind w:firstLine="0"/>
                          <w:jc w:val="center"/>
                          <w:rPr>
                            <w:sz w:val="20"/>
                          </w:rPr>
                        </w:pPr>
                      </w:p>
                    </w:txbxContent>
                  </v:textbox>
                </v:roundrect>
                <v:roundrect id="Rounded Rectangle 2135" o:spid="_x0000_s1147" style="position:absolute;left:5255;top:6748;width:4712;height:11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" fillcolor="#a3c4ff" strokecolor="#4a7ebb">
                  <v:fill color2="#e5eeff" rotate="t" angle="180" colors="0 #a3c4ff;22938f #bfd5ff;1 #e5eeff" focus="100%" type="gradient"/>
                  <v:shadow on="t" color="black" opacity="24903f" origin=",.5" offset="0,.55556mm"/>
                  <v:path arrowok="t"/>
                  <v:textbox>
                    <w:txbxContent>
                      <w:p w:rsidR="00CD7E74" w:rsidRPr="002E7370" w:rsidRDefault="00CD7E74" w:rsidP="007E360C">
                        <w:pPr>
                          <w:ind w:firstLine="0"/>
                          <w:jc w:val="center"/>
                          <w:rPr>
                            <w:sz w:val="20"/>
                          </w:rPr>
                        </w:pPr>
                        <w:r w:rsidRPr="002E7370">
                          <w:rPr>
                            <w:sz w:val="20"/>
                          </w:rPr>
                          <w:t>Доклад от Ръководител ЗИП</w:t>
                        </w:r>
                        <w:r>
                          <w:rPr>
                            <w:sz w:val="20"/>
                          </w:rPr>
                          <w:t>/Началник на отдел „Информация,</w:t>
                        </w:r>
                        <w:r w:rsidRPr="00774876">
                          <w:t xml:space="preserve"> </w:t>
                        </w:r>
                        <w:r w:rsidRPr="00774876">
                          <w:rPr>
                            <w:sz w:val="20"/>
                          </w:rPr>
                          <w:t>публичност и техническа помощ</w:t>
                        </w:r>
                        <w:r>
                          <w:rPr>
                            <w:sz w:val="20"/>
                          </w:rPr>
                          <w:t xml:space="preserve"> “</w:t>
                        </w:r>
                      </w:p>
                      <w:p w:rsidR="00CD7E74" w:rsidRPr="002E7370" w:rsidRDefault="00CD7E74" w:rsidP="007E360C">
                        <w:pPr>
                          <w:ind w:firstLine="0"/>
                          <w:jc w:val="center"/>
                          <w:rPr>
                            <w:sz w:val="20"/>
                          </w:rPr>
                        </w:pPr>
                      </w:p>
                    </w:txbxContent>
                  </v:textbox>
                </v:roundrect>
                <v:shape id="Down Arrow 2136" o:spid="_x0000_s1148" type="#_x0000_t67" style="position:absolute;left:8039;top:6494;width:393;height: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" adj="10800" fillcolor="#4f81bd" strokecolor="#385d8a" strokeweight="2pt">
                  <v:path arrowok="t"/>
                </v:shape>
                <v:shape id="Down Arrow 2137" o:spid="_x0000_s1149" type="#_x0000_t67" style="position:absolute;left:3504;top:6531;width:393;height:1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" adj="17925" fillcolor="#4f81bd" strokecolor="#385d8a" strokeweight="2pt">
                  <v:path arrowok="t"/>
                </v:shape>
                <v:roundrect id="Rounded Rectangle 248" o:spid="_x0000_s1150" style="position:absolute;left:2000;top:4231;width:7937;height:6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" fillcolor="#a3c4ff" strokecolor="#4a7ebb">
                  <v:fill color2="#e5eeff" rotate="t" angle="180" colors="0 #a3c4ff;22938f #bfd5ff;1 #e5eeff" focus="100%" type="gradient"/>
                  <v:shadow on="t" color="black" opacity="24903f" origin=",.5" offset="0,.55556mm"/>
                  <v:path arrowok="t"/>
                  <v:textbox>
                    <w:txbxContent>
                      <w:p w:rsidR="00CD7E74" w:rsidRPr="002E7370" w:rsidRDefault="00CD7E74" w:rsidP="007E360C">
                        <w:pPr>
                          <w:ind w:firstLine="0"/>
                          <w:jc w:val="center"/>
                          <w:rPr>
                            <w:sz w:val="20"/>
                          </w:rPr>
                        </w:pPr>
                        <w:r w:rsidRPr="002E7370">
                          <w:rPr>
                            <w:sz w:val="20"/>
                          </w:rPr>
                          <w:t>Възниква необходимост от изменение/промяна на условията на предоставената помощ</w:t>
                        </w:r>
                      </w:p>
                    </w:txbxContent>
                  </v:textbox>
                </v:roundrect>
                <v:shape id="Down Arrow 249" o:spid="_x0000_s1151" type="#_x0000_t67" style="position:absolute;left:5772;top:5001;width:393;height: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" adj="10800" fillcolor="#4f81bd" strokecolor="#385d8a" strokeweight="2pt">
                  <v:path arrowok="t"/>
                </v:shape>
                <v:shape id="Text Box 250" o:spid="_x0000_s1152" type="#_x0000_t202" style="position:absolute;left:4644;top:5248;width:2649;height: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" strokecolor="white" strokeweight=".5pt">
                  <v:path arrowok="t"/>
                  <v:textbox>
                    <w:txbxContent>
                      <w:p w:rsidR="00CD7E74" w:rsidRPr="002E7370" w:rsidRDefault="00CD7E74" w:rsidP="007E360C">
                        <w:pPr>
                          <w:ind w:firstLine="0"/>
                          <w:jc w:val="center"/>
                          <w:rPr>
                            <w:sz w:val="20"/>
                          </w:rPr>
                        </w:pPr>
                        <w:r w:rsidRPr="002E7370">
                          <w:rPr>
                            <w:sz w:val="20"/>
                          </w:rPr>
                          <w:t>БФП е предоставена чрез:</w:t>
                        </w:r>
                      </w:p>
                    </w:txbxContent>
                  </v:textbox>
                </v:shape>
                <v:roundrect id="Rounded Rectangle 2142" o:spid="_x0000_s1153" style="position:absolute;left:2105;top:7951;width:7937;height:6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" fillcolor="#a3c4ff" strokecolor="#4a7ebb">
                  <v:fill color2="#e5eeff" rotate="t" angle="180" colors="0 #a3c4ff;22938f #bfd5ff;1 #e5eeff" focus="100%" type="gradient"/>
                  <v:shadow on="t" color="black" opacity="24903f" origin=",.5" offset="0,.55556mm"/>
                  <v:path arrowok="t"/>
                  <v:textbox>
                    <w:txbxContent>
                      <w:p w:rsidR="00CD7E74" w:rsidRPr="002E7370" w:rsidRDefault="00CD7E74" w:rsidP="007E360C">
                        <w:pPr>
                          <w:ind w:firstLine="0"/>
                          <w:jc w:val="center"/>
                          <w:rPr>
                            <w:sz w:val="20"/>
                          </w:rPr>
                        </w:pPr>
                        <w:r>
                          <w:rPr>
                            <w:sz w:val="20"/>
                          </w:rPr>
                          <w:t xml:space="preserve">Извършена промяна/ изменение на договора за БФП от Бенефициента и </w:t>
                        </w:r>
                        <w:r w:rsidRPr="002E7370">
                          <w:rPr>
                            <w:sz w:val="20"/>
                          </w:rPr>
                          <w:t xml:space="preserve">Писмо до УО на </w:t>
                        </w:r>
                        <w:r>
                          <w:rPr>
                            <w:sz w:val="20"/>
                          </w:rPr>
                          <w:t>ПТС</w:t>
                        </w:r>
                        <w:r w:rsidRPr="002E7370">
                          <w:rPr>
                            <w:sz w:val="20"/>
                          </w:rPr>
                          <w:t xml:space="preserve"> с обосновка за изменение/промяна</w:t>
                        </w:r>
                      </w:p>
                    </w:txbxContent>
                  </v:textbox>
                </v:roundrect>
                <v:roundrect id="_x0000_s1154" style="position:absolute;left:2000;top:9949;width:4050;height:91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" fillcolor="#a3c4ff" strokecolor="#4a7ebb">
                  <v:fill color2="#e5eeff" rotate="t" angle="180" colors="0 #a3c4ff;22938f #bfd5ff;1 #e5eeff" focus="100%" type="gradient"/>
                  <v:shadow on="t" color="black" opacity="24903f" origin=",.5" offset="0,.55556mm"/>
                  <v:path arrowok="t"/>
                  <v:textbox>
                    <w:txbxContent>
                      <w:p w:rsidR="00CD7E74" w:rsidRPr="002E7370" w:rsidRDefault="00CD7E74" w:rsidP="007E360C">
                        <w:pPr>
                          <w:ind w:firstLine="0"/>
                          <w:jc w:val="center"/>
                          <w:rPr>
                            <w:sz w:val="20"/>
                          </w:rPr>
                        </w:pPr>
                        <w:r w:rsidRPr="002E7370">
                          <w:rPr>
                            <w:sz w:val="20"/>
                          </w:rPr>
                          <w:t xml:space="preserve">Доклад до Ръководителя на УО на </w:t>
                        </w:r>
                        <w:r>
                          <w:rPr>
                            <w:sz w:val="20"/>
                          </w:rPr>
                          <w:t>ПТС</w:t>
                        </w:r>
                        <w:r w:rsidRPr="002E7370">
                          <w:rPr>
                            <w:sz w:val="20"/>
                          </w:rPr>
                          <w:t>, мотивиращ изменението</w:t>
                        </w:r>
                      </w:p>
                    </w:txbxContent>
                  </v:textbox>
                </v:roundrect>
                <v:shape id="Down Arrow 2144" o:spid="_x0000_s1155" type="#_x0000_t67" style="position:absolute;left:5817;top:8561;width:393;height: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" adj="11910" fillcolor="#4f81bd" strokecolor="#385d8a" strokeweight="2pt">
                  <v:path arrowok="t"/>
                </v:shape>
                <v:shape id="Down Arrow 2145" o:spid="_x0000_s1156" type="#_x0000_t67" style="position:absolute;left:3504;top:11056;width:393;height: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" adj="10800" fillcolor="#4f81bd" strokecolor="#385d8a" strokeweight="2pt">
                  <v:path arrowok="t"/>
                </v:shape>
                <v:oval id="Oval 2146" o:spid="_x0000_s1157" style="position:absolute;left:4241;top:8878;width:3729;height: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" strokecolor="#4f81bd" strokeweight="2pt">
                  <v:path arrowok="t"/>
                  <v:textbox>
                    <w:txbxContent>
                      <w:p w:rsidR="00CD7E74" w:rsidRPr="002E7370" w:rsidRDefault="00CD7E74" w:rsidP="007E360C">
                        <w:pPr>
                          <w:ind w:firstLine="0"/>
                          <w:jc w:val="center"/>
                          <w:rPr>
                            <w:sz w:val="20"/>
                          </w:rPr>
                        </w:pPr>
                        <w:r w:rsidRPr="002E7370">
                          <w:rPr>
                            <w:sz w:val="20"/>
                          </w:rPr>
                          <w:t>Отговаря ли на условията за изменение</w:t>
                        </w:r>
                        <w:r w:rsidR="00C80F87">
                          <w:rPr>
                            <w:sz w:val="20"/>
                          </w:rPr>
                          <w:t>/промяна</w:t>
                        </w:r>
                      </w:p>
                    </w:txbxContent>
                  </v:textbox>
                </v:oval>
                <v:roundrect id="Rounded Rectangle 2139" o:spid="_x0000_s1158" style="position:absolute;left:2000;top:11392;width:3402;height:141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" fillcolor="#a3c4ff" strokecolor="#4a7ebb">
                  <v:fill color2="#e5eeff" rotate="t" angle="180" colors="0 #a3c4ff;22938f #bfd5ff;1 #e5eeff" focus="100%" type="gradient"/>
                  <v:shadow on="t" color="black" opacity="24903f" origin=",.5" offset="0,.55556mm"/>
                  <v:path arrowok="t"/>
                  <v:textbox>
                    <w:txbxContent>
                      <w:p w:rsidR="00CD7E74" w:rsidRPr="002E7370" w:rsidRDefault="00CD7E74" w:rsidP="007E360C">
                        <w:pPr>
                          <w:ind w:firstLine="0"/>
                          <w:jc w:val="center"/>
                          <w:rPr>
                            <w:sz w:val="20"/>
                          </w:rPr>
                        </w:pPr>
                        <w:r w:rsidRPr="002E7370">
                          <w:rPr>
                            <w:sz w:val="20"/>
                          </w:rPr>
                          <w:t xml:space="preserve">Изменение чрез, Анекс на Договор за БФП/ Заповед за изменение на Заповед за БФП (в случай, че бенефициент е УО на </w:t>
                        </w:r>
                        <w:r>
                          <w:rPr>
                            <w:sz w:val="20"/>
                          </w:rPr>
                          <w:t>ПТС</w:t>
                        </w:r>
                        <w:r w:rsidRPr="002E7370">
                          <w:rPr>
                            <w:sz w:val="20"/>
                          </w:rPr>
                          <w:t>)</w:t>
                        </w:r>
                      </w:p>
                      <w:p w:rsidR="00CD7E74" w:rsidRPr="002E7370" w:rsidRDefault="00CD7E74" w:rsidP="007E360C">
                        <w:pPr>
                          <w:ind w:firstLine="0"/>
                          <w:jc w:val="center"/>
                          <w:rPr>
                            <w:sz w:val="20"/>
                          </w:rPr>
                        </w:pPr>
                      </w:p>
                      <w:p w:rsidR="00CD7E74" w:rsidRPr="002E7370" w:rsidRDefault="00CD7E74" w:rsidP="007E360C">
                        <w:pPr>
                          <w:ind w:firstLine="0"/>
                          <w:jc w:val="center"/>
                          <w:rPr>
                            <w:sz w:val="20"/>
                          </w:rPr>
                        </w:pPr>
                      </w:p>
                    </w:txbxContent>
                  </v:textbox>
                </v:roundrect>
                <v:roundrect id="Rounded Rectangle 2140" o:spid="_x0000_s1159" style="position:absolute;left:6535;top:11392;width:3402;height:141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" fillcolor="#a3c4ff" strokecolor="#4a7ebb">
                  <v:fill color2="#e5eeff" rotate="t" angle="180" colors="0 #a3c4ff;22938f #bfd5ff;1 #e5eeff" focus="100%" type="gradient"/>
                  <v:shadow on="t" color="black" opacity="24903f" origin=",.5" offset="0,.55556mm"/>
                  <v:path arrowok="t"/>
                  <v:textbox>
                    <w:txbxContent>
                      <w:p w:rsidR="00CD7E74" w:rsidRPr="002E7370" w:rsidRDefault="00CD7E74" w:rsidP="007E360C">
                        <w:pPr>
                          <w:ind w:firstLine="0"/>
                          <w:jc w:val="center"/>
                          <w:rPr>
                            <w:sz w:val="20"/>
                          </w:rPr>
                        </w:pPr>
                        <w:r w:rsidRPr="002E7370">
                          <w:rPr>
                            <w:sz w:val="20"/>
                          </w:rPr>
                          <w:t xml:space="preserve">Промяна на Договор за БФП /Заповед за изменение на Заповед за БФП (в случай, че бенефициент е УО на </w:t>
                        </w:r>
                        <w:r>
                          <w:rPr>
                            <w:sz w:val="20"/>
                          </w:rPr>
                          <w:t>ПТС</w:t>
                        </w:r>
                        <w:r w:rsidRPr="002E7370">
                          <w:rPr>
                            <w:sz w:val="20"/>
                          </w:rPr>
                          <w:t>)</w:t>
                        </w:r>
                      </w:p>
                      <w:p w:rsidR="00CD7E74" w:rsidRPr="002E7370" w:rsidRDefault="00CD7E74" w:rsidP="007E360C">
                        <w:pPr>
                          <w:ind w:firstLine="0"/>
                          <w:jc w:val="center"/>
                          <w:rPr>
                            <w:sz w:val="20"/>
                          </w:rPr>
                        </w:pPr>
                      </w:p>
                    </w:txbxContent>
                  </v:textbox>
                </v:roundrect>
                <w10:anchorlock/>
              </v:group>
            </w:pict>
          </mc:Fallback>
        </mc:AlternateContent>
      </w:r>
    </w:p>
    <w:p w:rsidR="007E360C" w:rsidRPr="00496FD7" w:rsidRDefault="007E360C" w:rsidP="007E360C">
      <w:pPr>
        <w:spacing w:before="120" w:after="120"/>
        <w:rPr>
          <w:szCs w:val="24"/>
          <w:lang w:eastAsia="bg-BG"/>
        </w:rPr>
      </w:pPr>
    </w:p>
    <w:p w:rsidR="007E360C" w:rsidRPr="00496FD7" w:rsidRDefault="007E360C" w:rsidP="00E80472">
      <w:pPr>
        <w:numPr>
          <w:ilvl w:val="0"/>
          <w:numId w:val="27"/>
        </w:numPr>
        <w:tabs>
          <w:tab w:val="num" w:pos="993"/>
        </w:tabs>
        <w:spacing w:before="134"/>
        <w:ind w:left="0" w:firstLine="567"/>
        <w:rPr>
          <w:spacing w:val="10"/>
          <w:szCs w:val="24"/>
          <w:lang w:eastAsia="bg-BG"/>
        </w:rPr>
      </w:pPr>
      <w:r w:rsidRPr="00496FD7">
        <w:rPr>
          <w:szCs w:val="24"/>
          <w:lang w:eastAsia="bg-BG"/>
        </w:rPr>
        <w:t xml:space="preserve">Административният договор, включително одобреният с него проект, може да бъде изменян и/или допълван по инициатива на УО или по искане на бенефициента, когато това се основава на свързани с процедурата промени в правото на Европейския </w:t>
      </w:r>
      <w:r w:rsidRPr="00496FD7">
        <w:rPr>
          <w:szCs w:val="24"/>
          <w:lang w:eastAsia="bg-BG"/>
        </w:rPr>
        <w:lastRenderedPageBreak/>
        <w:t xml:space="preserve">съюз и/или българското законодателство, в политиката на европейско и/или национално ниво, произтичаща от стратегически документ, или в съответната програма (по чл. 39, ал. 1. от </w:t>
      </w:r>
      <w:r w:rsidR="00436CBC" w:rsidRPr="00496FD7">
        <w:rPr>
          <w:szCs w:val="24"/>
          <w:lang w:eastAsia="bg-BG"/>
        </w:rPr>
        <w:t>ЗУСЕФСУ</w:t>
      </w:r>
      <w:r w:rsidRPr="00496FD7">
        <w:rPr>
          <w:szCs w:val="24"/>
          <w:lang w:eastAsia="bg-BG"/>
        </w:rPr>
        <w:t>).</w:t>
      </w:r>
    </w:p>
    <w:p w:rsidR="007E360C" w:rsidRPr="00496FD7" w:rsidRDefault="007E360C" w:rsidP="00E80472">
      <w:pPr>
        <w:numPr>
          <w:ilvl w:val="0"/>
          <w:numId w:val="27"/>
        </w:numPr>
        <w:tabs>
          <w:tab w:val="num" w:pos="993"/>
        </w:tabs>
        <w:spacing w:before="134"/>
        <w:ind w:left="0" w:firstLine="567"/>
        <w:rPr>
          <w:spacing w:val="10"/>
          <w:szCs w:val="24"/>
          <w:lang w:eastAsia="bg-BG"/>
        </w:rPr>
      </w:pPr>
      <w:r w:rsidRPr="00496FD7">
        <w:rPr>
          <w:szCs w:val="24"/>
          <w:lang w:eastAsia="bg-BG"/>
        </w:rPr>
        <w:t xml:space="preserve">При изменение по инициатива на Бенефициента, той трябва да представи искане за изменение на проекта на вниманието на УО в едномесечен срок преди датата на влизане в сила на исканото изменение, освен ако са налице особени обстоятелства, надлежно обосновани от Бенефициента и приети от Управляващия орган. Управляващият орган се произнася писмено или по електронен път, като стартира подготвянето, на анекс за изменение /въвеждането на промяна в срок до 15 работни дни от получаване на искането, като си запазва правото мотивирано да откаже исканото от Бенефициента изменение на договора. </w:t>
      </w:r>
    </w:p>
    <w:p w:rsidR="007E360C" w:rsidRPr="00496FD7" w:rsidRDefault="007E360C" w:rsidP="00E80472">
      <w:pPr>
        <w:numPr>
          <w:ilvl w:val="0"/>
          <w:numId w:val="27"/>
        </w:numPr>
        <w:tabs>
          <w:tab w:val="num" w:pos="993"/>
        </w:tabs>
        <w:spacing w:before="134"/>
        <w:ind w:left="0" w:firstLine="567"/>
        <w:rPr>
          <w:spacing w:val="10"/>
          <w:szCs w:val="24"/>
          <w:lang w:eastAsia="bg-BG"/>
        </w:rPr>
      </w:pPr>
      <w:r w:rsidRPr="00496FD7">
        <w:rPr>
          <w:b/>
          <w:szCs w:val="24"/>
          <w:lang w:eastAsia="bg-BG"/>
        </w:rPr>
        <w:t>Изменение</w:t>
      </w:r>
      <w:r w:rsidRPr="00496FD7">
        <w:rPr>
          <w:szCs w:val="24"/>
          <w:lang w:eastAsia="bg-BG"/>
        </w:rPr>
        <w:t xml:space="preserve"> на проект влиза в сила </w:t>
      </w:r>
      <w:r w:rsidRPr="00496FD7">
        <w:rPr>
          <w:b/>
          <w:szCs w:val="24"/>
          <w:lang w:eastAsia="bg-BG"/>
        </w:rPr>
        <w:t>след подписване на анекс</w:t>
      </w:r>
      <w:r w:rsidRPr="00496FD7">
        <w:rPr>
          <w:szCs w:val="24"/>
          <w:lang w:eastAsia="bg-BG"/>
        </w:rPr>
        <w:t xml:space="preserve"> към административ</w:t>
      </w:r>
      <w:r w:rsidRPr="00496FD7">
        <w:rPr>
          <w:spacing w:val="10"/>
          <w:szCs w:val="24"/>
          <w:lang w:eastAsia="bg-BG"/>
        </w:rPr>
        <w:t>ния договор между Управляващия орган и Бенефициента в следните случаи:</w:t>
      </w:r>
    </w:p>
    <w:p w:rsidR="007E360C" w:rsidRPr="00496FD7" w:rsidRDefault="007E360C" w:rsidP="007E360C">
      <w:pPr>
        <w:tabs>
          <w:tab w:val="left" w:pos="2302"/>
        </w:tabs>
        <w:spacing w:after="120"/>
        <w:ind w:firstLine="567"/>
        <w:rPr>
          <w:szCs w:val="24"/>
          <w:lang w:eastAsia="en-US"/>
        </w:rPr>
      </w:pPr>
      <w:r w:rsidRPr="00496FD7">
        <w:rPr>
          <w:szCs w:val="24"/>
          <w:lang w:eastAsia="en-US"/>
        </w:rPr>
        <w:t xml:space="preserve">а) изменение на първоначалните стойности на конкретните разходи, посочени в т. 5 „Бюджет“ на проектното предложение, когато се извършва преразпределение на БФП по типове разходи в бюджета на проекта, водещо до увеличаване или намаляване </w:t>
      </w:r>
      <w:r w:rsidRPr="00496FD7">
        <w:rPr>
          <w:b/>
          <w:szCs w:val="24"/>
          <w:lang w:eastAsia="en-US"/>
        </w:rPr>
        <w:t>с повече от 10 %</w:t>
      </w:r>
      <w:r w:rsidRPr="00496FD7">
        <w:rPr>
          <w:szCs w:val="24"/>
          <w:lang w:eastAsia="en-US"/>
        </w:rPr>
        <w:t xml:space="preserve"> за всеки засегнат от промяната тип разход, както и разделянето, окрупняването и отпадането на конкретни разходи (типове разходи). Бенефициентът няма право да приложи изменението преди да бъде одобрено от Управляващия орган и да бъде сключен анекс. </w:t>
      </w:r>
    </w:p>
    <w:p w:rsidR="007E360C" w:rsidRPr="00496FD7" w:rsidRDefault="007E360C" w:rsidP="007E360C">
      <w:pPr>
        <w:tabs>
          <w:tab w:val="left" w:pos="2302"/>
        </w:tabs>
        <w:spacing w:after="120"/>
        <w:ind w:firstLine="567"/>
        <w:rPr>
          <w:szCs w:val="24"/>
          <w:lang w:eastAsia="en-US"/>
        </w:rPr>
      </w:pPr>
      <w:r w:rsidRPr="00496FD7">
        <w:rPr>
          <w:szCs w:val="24"/>
          <w:lang w:eastAsia="en-US"/>
        </w:rPr>
        <w:t>б) изменение на срока на проекта. Бенефициентът няма право да приложи изменението преди да бъде одобрено от Управляващия орган и да бъде сключен анекс;</w:t>
      </w:r>
    </w:p>
    <w:p w:rsidR="007E360C" w:rsidRPr="00496FD7" w:rsidRDefault="007E360C" w:rsidP="007E360C">
      <w:pPr>
        <w:tabs>
          <w:tab w:val="left" w:pos="2302"/>
        </w:tabs>
        <w:spacing w:after="120"/>
        <w:ind w:firstLine="567"/>
        <w:rPr>
          <w:szCs w:val="24"/>
          <w:lang w:eastAsia="en-US"/>
        </w:rPr>
      </w:pPr>
      <w:r w:rsidRPr="00496FD7">
        <w:rPr>
          <w:szCs w:val="24"/>
          <w:lang w:eastAsia="en-US"/>
        </w:rPr>
        <w:t>в) изменение в плана за изпълнение на дейностите;</w:t>
      </w:r>
    </w:p>
    <w:p w:rsidR="007E360C" w:rsidRPr="00496FD7" w:rsidRDefault="007E360C" w:rsidP="00E80472">
      <w:pPr>
        <w:numPr>
          <w:ilvl w:val="0"/>
          <w:numId w:val="27"/>
        </w:numPr>
        <w:tabs>
          <w:tab w:val="num" w:pos="993"/>
        </w:tabs>
        <w:spacing w:before="134"/>
        <w:ind w:left="0" w:firstLine="567"/>
        <w:rPr>
          <w:spacing w:val="10"/>
          <w:szCs w:val="24"/>
          <w:lang w:eastAsia="bg-BG"/>
        </w:rPr>
      </w:pPr>
      <w:r w:rsidRPr="00496FD7">
        <w:rPr>
          <w:b/>
          <w:szCs w:val="24"/>
          <w:lang w:eastAsia="bg-BG"/>
        </w:rPr>
        <w:t>За промяна</w:t>
      </w:r>
      <w:r w:rsidRPr="00496FD7">
        <w:rPr>
          <w:szCs w:val="24"/>
          <w:lang w:eastAsia="bg-BG"/>
        </w:rPr>
        <w:t xml:space="preserve"> на проект не се подписва анекс, при настъпване на  посочените в настоящата точка обстоятелства, Бенефициентът следва да уведоми незабавно Управляващия орган и да обоснове необходимостта от извършване на съответната промяна, като анекс не се подписва. Бенефициентът има право да приложи промяната, за което писмено е уведомил Управляващия орган, като Управляващият орган може да възрази в срок от 15 работни дни от получаване на писменото уведомление. Посоченият ред  се прилага в следните случаи: </w:t>
      </w:r>
    </w:p>
    <w:p w:rsidR="007E360C" w:rsidRPr="00496FD7" w:rsidRDefault="007E360C" w:rsidP="007E360C">
      <w:pPr>
        <w:tabs>
          <w:tab w:val="left" w:pos="2302"/>
        </w:tabs>
        <w:spacing w:after="120"/>
        <w:ind w:firstLine="567"/>
        <w:rPr>
          <w:szCs w:val="24"/>
          <w:lang w:eastAsia="en-US"/>
        </w:rPr>
      </w:pPr>
      <w:r w:rsidRPr="00496FD7">
        <w:rPr>
          <w:szCs w:val="24"/>
          <w:lang w:eastAsia="en-US"/>
        </w:rPr>
        <w:t>а)   промяна в адреса за кореспонденция и контакти;</w:t>
      </w:r>
      <w:r w:rsidRPr="00496FD7">
        <w:rPr>
          <w:szCs w:val="24"/>
          <w:lang w:eastAsia="en-US"/>
        </w:rPr>
        <w:tab/>
      </w:r>
    </w:p>
    <w:p w:rsidR="007E360C" w:rsidRPr="00496FD7" w:rsidRDefault="007E360C" w:rsidP="007E360C">
      <w:pPr>
        <w:tabs>
          <w:tab w:val="left" w:pos="2302"/>
        </w:tabs>
        <w:spacing w:after="120"/>
        <w:ind w:firstLine="567"/>
        <w:rPr>
          <w:szCs w:val="24"/>
          <w:lang w:eastAsia="en-US"/>
        </w:rPr>
      </w:pPr>
      <w:r w:rsidRPr="00496FD7">
        <w:rPr>
          <w:szCs w:val="24"/>
          <w:lang w:eastAsia="en-US"/>
        </w:rPr>
        <w:t>б)  отстраняване на технически грешки в  проекта с изключение на промяна на минималните технически и функционални характеристики, съгласно одобрения ФК и индикатори;</w:t>
      </w:r>
    </w:p>
    <w:p w:rsidR="007E360C" w:rsidRPr="00496FD7" w:rsidRDefault="007E360C" w:rsidP="007E360C">
      <w:pPr>
        <w:tabs>
          <w:tab w:val="left" w:pos="2302"/>
        </w:tabs>
        <w:spacing w:after="120"/>
        <w:ind w:firstLine="567"/>
        <w:rPr>
          <w:szCs w:val="24"/>
          <w:lang w:eastAsia="en-US"/>
        </w:rPr>
      </w:pPr>
      <w:r w:rsidRPr="00496FD7">
        <w:rPr>
          <w:szCs w:val="24"/>
          <w:lang w:eastAsia="en-US"/>
        </w:rPr>
        <w:t>в)  промяна в седалището и адреса на управление;</w:t>
      </w:r>
    </w:p>
    <w:p w:rsidR="007E360C" w:rsidRPr="00496FD7" w:rsidRDefault="007E360C" w:rsidP="007E360C">
      <w:pPr>
        <w:tabs>
          <w:tab w:val="left" w:pos="2302"/>
        </w:tabs>
        <w:spacing w:after="120"/>
        <w:ind w:firstLine="567"/>
        <w:rPr>
          <w:szCs w:val="24"/>
          <w:lang w:eastAsia="en-US"/>
        </w:rPr>
      </w:pPr>
      <w:r w:rsidRPr="00496FD7">
        <w:rPr>
          <w:szCs w:val="24"/>
          <w:lang w:eastAsia="en-US"/>
        </w:rPr>
        <w:t>г)  уеднаквяване на текстове в договора и/или приложенията към него;</w:t>
      </w:r>
    </w:p>
    <w:p w:rsidR="007E360C" w:rsidRPr="00496FD7" w:rsidRDefault="007E360C" w:rsidP="007E360C">
      <w:pPr>
        <w:tabs>
          <w:tab w:val="left" w:pos="2302"/>
        </w:tabs>
        <w:spacing w:after="120"/>
        <w:ind w:firstLine="567"/>
        <w:rPr>
          <w:szCs w:val="24"/>
          <w:lang w:eastAsia="en-US"/>
        </w:rPr>
      </w:pPr>
      <w:r w:rsidRPr="00496FD7">
        <w:rPr>
          <w:szCs w:val="24"/>
          <w:lang w:eastAsia="en-US"/>
        </w:rPr>
        <w:t xml:space="preserve">д)  промяна в бюджета на договора, свързана с прехвърляне на  средства в рамките на един „тип разходи“ или прехвърляне на средства от един „тип разходи“ в друг, като отклонението е </w:t>
      </w:r>
      <w:r w:rsidRPr="00496FD7">
        <w:rPr>
          <w:b/>
          <w:szCs w:val="24"/>
          <w:lang w:eastAsia="en-US"/>
        </w:rPr>
        <w:t>под 10 %</w:t>
      </w:r>
      <w:r w:rsidRPr="00496FD7">
        <w:rPr>
          <w:szCs w:val="24"/>
          <w:lang w:eastAsia="en-US"/>
        </w:rPr>
        <w:t xml:space="preserve"> от първоначално договорения размер за всеки засегнат от промяната тип разход (до 10% както за увеличения разход, така и до 10% за намаления разход), в случаите когато посоченото е в съответствие с </w:t>
      </w:r>
      <w:r w:rsidR="007C4548" w:rsidRPr="00496FD7">
        <w:rPr>
          <w:szCs w:val="24"/>
          <w:lang w:eastAsia="en-US"/>
        </w:rPr>
        <w:t>Насоките по процедурата</w:t>
      </w:r>
      <w:r w:rsidRPr="00496FD7">
        <w:rPr>
          <w:szCs w:val="24"/>
          <w:lang w:eastAsia="en-US"/>
        </w:rPr>
        <w:t>;</w:t>
      </w:r>
    </w:p>
    <w:p w:rsidR="007E360C" w:rsidRPr="00496FD7" w:rsidRDefault="007E360C" w:rsidP="007E360C">
      <w:pPr>
        <w:tabs>
          <w:tab w:val="left" w:pos="2302"/>
        </w:tabs>
        <w:spacing w:after="120"/>
        <w:ind w:firstLine="567"/>
        <w:rPr>
          <w:szCs w:val="24"/>
          <w:lang w:eastAsia="en-US"/>
        </w:rPr>
      </w:pPr>
      <w:r w:rsidRPr="00496FD7">
        <w:rPr>
          <w:szCs w:val="24"/>
          <w:lang w:eastAsia="en-US"/>
        </w:rPr>
        <w:lastRenderedPageBreak/>
        <w:t>е)  промяна в екипа по проекта;</w:t>
      </w:r>
    </w:p>
    <w:p w:rsidR="007E360C" w:rsidRPr="00496FD7" w:rsidRDefault="007E360C" w:rsidP="007E360C">
      <w:pPr>
        <w:tabs>
          <w:tab w:val="left" w:pos="2302"/>
        </w:tabs>
        <w:spacing w:after="120"/>
        <w:ind w:firstLine="567"/>
        <w:rPr>
          <w:szCs w:val="24"/>
          <w:lang w:eastAsia="en-US"/>
        </w:rPr>
      </w:pPr>
      <w:r w:rsidRPr="00496FD7">
        <w:rPr>
          <w:szCs w:val="24"/>
          <w:lang w:eastAsia="en-US"/>
        </w:rPr>
        <w:t>ж) промяна в плана за външно възлагане.</w:t>
      </w:r>
    </w:p>
    <w:p w:rsidR="007E360C" w:rsidRPr="00496FD7" w:rsidRDefault="007E360C" w:rsidP="00E80472">
      <w:pPr>
        <w:numPr>
          <w:ilvl w:val="0"/>
          <w:numId w:val="27"/>
        </w:numPr>
        <w:tabs>
          <w:tab w:val="num" w:pos="993"/>
        </w:tabs>
        <w:spacing w:before="134"/>
        <w:ind w:left="0" w:firstLine="567"/>
        <w:rPr>
          <w:spacing w:val="10"/>
          <w:szCs w:val="24"/>
          <w:lang w:eastAsia="bg-BG"/>
        </w:rPr>
      </w:pPr>
      <w:r w:rsidRPr="00496FD7">
        <w:rPr>
          <w:szCs w:val="24"/>
          <w:lang w:eastAsia="bg-BG"/>
        </w:rPr>
        <w:t>В случаите по т. 5), Управляващия орган може да не приеме направената промяна или да даде допълнителни указания на бенефициента когато:</w:t>
      </w:r>
    </w:p>
    <w:p w:rsidR="007E360C" w:rsidRPr="00496FD7" w:rsidRDefault="007E360C" w:rsidP="007E360C">
      <w:pPr>
        <w:tabs>
          <w:tab w:val="left" w:pos="2302"/>
        </w:tabs>
        <w:spacing w:after="120"/>
        <w:ind w:left="928"/>
        <w:rPr>
          <w:szCs w:val="24"/>
          <w:lang w:eastAsia="en-US"/>
        </w:rPr>
      </w:pPr>
      <w:r w:rsidRPr="00496FD7">
        <w:rPr>
          <w:szCs w:val="24"/>
          <w:lang w:eastAsia="en-US"/>
        </w:rPr>
        <w:t>а)   промяната по вид не е сред изброените в т. 5);</w:t>
      </w:r>
    </w:p>
    <w:p w:rsidR="007E360C" w:rsidRPr="00496FD7" w:rsidRDefault="007E360C" w:rsidP="007E360C">
      <w:pPr>
        <w:tabs>
          <w:tab w:val="left" w:pos="2302"/>
        </w:tabs>
        <w:spacing w:after="120"/>
        <w:ind w:left="928"/>
        <w:rPr>
          <w:szCs w:val="24"/>
          <w:lang w:eastAsia="en-US"/>
        </w:rPr>
      </w:pPr>
      <w:r w:rsidRPr="00496FD7">
        <w:rPr>
          <w:szCs w:val="24"/>
          <w:lang w:eastAsia="en-US"/>
        </w:rPr>
        <w:t>б)  се нарушават условията на т. 9) от настоящите Условия за изпълнение на одобрени проекти;</w:t>
      </w:r>
    </w:p>
    <w:p w:rsidR="007E360C" w:rsidRPr="00496FD7" w:rsidRDefault="007E360C" w:rsidP="007E360C">
      <w:pPr>
        <w:tabs>
          <w:tab w:val="left" w:pos="2302"/>
        </w:tabs>
        <w:spacing w:after="120"/>
        <w:ind w:left="928"/>
        <w:rPr>
          <w:szCs w:val="24"/>
          <w:lang w:eastAsia="en-US"/>
        </w:rPr>
      </w:pPr>
      <w:r w:rsidRPr="00496FD7">
        <w:rPr>
          <w:szCs w:val="24"/>
          <w:lang w:eastAsia="en-US"/>
        </w:rPr>
        <w:t>в)   не е добре обоснована необходимостта от извършването му.</w:t>
      </w:r>
    </w:p>
    <w:p w:rsidR="007E360C" w:rsidRPr="00496FD7" w:rsidRDefault="007E360C" w:rsidP="00E80472">
      <w:pPr>
        <w:numPr>
          <w:ilvl w:val="0"/>
          <w:numId w:val="27"/>
        </w:numPr>
        <w:tabs>
          <w:tab w:val="num" w:pos="993"/>
        </w:tabs>
        <w:spacing w:before="134"/>
        <w:ind w:left="0" w:firstLine="567"/>
        <w:rPr>
          <w:spacing w:val="10"/>
          <w:szCs w:val="24"/>
          <w:lang w:eastAsia="bg-BG"/>
        </w:rPr>
      </w:pPr>
      <w:r w:rsidRPr="00496FD7">
        <w:rPr>
          <w:szCs w:val="24"/>
          <w:lang w:eastAsia="bg-BG"/>
        </w:rPr>
        <w:t>Анекс не се сключва, но Бенефициентът е длъжен да уведоми Управляващия орган, като промяната на проекта влиза в сила след получаване на съгласие от страна на Управляващия орган, който се произнася в срок до 15 работни дни от получаване на уведомлението при промяна на следните обстоятелства:</w:t>
      </w:r>
    </w:p>
    <w:p w:rsidR="007E360C" w:rsidRPr="00496FD7" w:rsidRDefault="007E360C" w:rsidP="007E360C">
      <w:pPr>
        <w:tabs>
          <w:tab w:val="left" w:pos="2302"/>
        </w:tabs>
        <w:spacing w:after="120"/>
        <w:ind w:left="928"/>
        <w:rPr>
          <w:szCs w:val="24"/>
          <w:lang w:eastAsia="en-US"/>
        </w:rPr>
      </w:pPr>
      <w:r w:rsidRPr="00496FD7">
        <w:rPr>
          <w:szCs w:val="24"/>
          <w:lang w:eastAsia="en-US"/>
        </w:rPr>
        <w:t>а)   промяна на законния/ите представляващ/и;</w:t>
      </w:r>
    </w:p>
    <w:p w:rsidR="007E360C" w:rsidRPr="00496FD7" w:rsidRDefault="007E360C" w:rsidP="007E360C">
      <w:pPr>
        <w:tabs>
          <w:tab w:val="left" w:pos="2302"/>
        </w:tabs>
        <w:spacing w:after="120"/>
        <w:ind w:left="928"/>
        <w:rPr>
          <w:szCs w:val="24"/>
          <w:lang w:eastAsia="en-US"/>
        </w:rPr>
      </w:pPr>
      <w:r w:rsidRPr="00496FD7">
        <w:rPr>
          <w:szCs w:val="24"/>
          <w:lang w:eastAsia="en-US"/>
        </w:rPr>
        <w:t>б)   промени на минималните технически параметри, съгласно одобрения проект;</w:t>
      </w:r>
    </w:p>
    <w:p w:rsidR="007E360C" w:rsidRPr="00496FD7" w:rsidRDefault="007E360C" w:rsidP="007E360C">
      <w:pPr>
        <w:tabs>
          <w:tab w:val="left" w:pos="2302"/>
        </w:tabs>
        <w:spacing w:after="120"/>
        <w:ind w:left="928"/>
        <w:rPr>
          <w:szCs w:val="24"/>
          <w:lang w:eastAsia="en-US"/>
        </w:rPr>
      </w:pPr>
      <w:r w:rsidRPr="00496FD7">
        <w:rPr>
          <w:szCs w:val="24"/>
          <w:lang w:eastAsia="en-US"/>
        </w:rPr>
        <w:t>в)  промени в заложени събития (семинари, конференции, обучения и т. н.);</w:t>
      </w:r>
    </w:p>
    <w:p w:rsidR="007E360C" w:rsidRPr="00496FD7" w:rsidRDefault="007E360C" w:rsidP="007E360C">
      <w:pPr>
        <w:tabs>
          <w:tab w:val="left" w:pos="2302"/>
        </w:tabs>
        <w:spacing w:after="120"/>
        <w:ind w:left="928"/>
        <w:rPr>
          <w:szCs w:val="24"/>
          <w:lang w:eastAsia="en-US"/>
        </w:rPr>
      </w:pPr>
      <w:r w:rsidRPr="00496FD7">
        <w:rPr>
          <w:szCs w:val="24"/>
          <w:lang w:eastAsia="en-US"/>
        </w:rPr>
        <w:t>г)    промяна в правно-организационната форма;</w:t>
      </w:r>
    </w:p>
    <w:p w:rsidR="007E360C" w:rsidRPr="00496FD7" w:rsidRDefault="007E360C" w:rsidP="007E360C">
      <w:pPr>
        <w:tabs>
          <w:tab w:val="left" w:pos="2302"/>
        </w:tabs>
        <w:spacing w:after="120"/>
        <w:ind w:left="928"/>
        <w:rPr>
          <w:szCs w:val="24"/>
          <w:lang w:eastAsia="en-US"/>
        </w:rPr>
      </w:pPr>
      <w:r w:rsidRPr="00496FD7">
        <w:rPr>
          <w:szCs w:val="24"/>
          <w:lang w:eastAsia="en-US"/>
        </w:rPr>
        <w:t>д)   в случаите, които не са изрично посочени т. 4).</w:t>
      </w:r>
    </w:p>
    <w:p w:rsidR="007E360C" w:rsidRPr="00496FD7" w:rsidRDefault="007E360C" w:rsidP="00E80472">
      <w:pPr>
        <w:numPr>
          <w:ilvl w:val="0"/>
          <w:numId w:val="27"/>
        </w:numPr>
        <w:tabs>
          <w:tab w:val="num" w:pos="993"/>
        </w:tabs>
        <w:spacing w:before="134"/>
        <w:ind w:left="0" w:firstLine="567"/>
        <w:rPr>
          <w:b/>
          <w:spacing w:val="10"/>
          <w:szCs w:val="24"/>
          <w:lang w:eastAsia="bg-BG"/>
        </w:rPr>
      </w:pPr>
      <w:r w:rsidRPr="00496FD7">
        <w:rPr>
          <w:b/>
          <w:szCs w:val="24"/>
          <w:lang w:eastAsia="bg-BG"/>
        </w:rPr>
        <w:t>Недопустими са следните изменения и промени:</w:t>
      </w:r>
    </w:p>
    <w:p w:rsidR="007E360C" w:rsidRPr="00496FD7" w:rsidRDefault="007E360C" w:rsidP="007E360C">
      <w:pPr>
        <w:tabs>
          <w:tab w:val="left" w:pos="2302"/>
        </w:tabs>
        <w:spacing w:after="120"/>
        <w:ind w:firstLine="567"/>
        <w:rPr>
          <w:szCs w:val="24"/>
          <w:lang w:eastAsia="en-US"/>
        </w:rPr>
      </w:pPr>
      <w:r w:rsidRPr="00496FD7">
        <w:rPr>
          <w:szCs w:val="24"/>
          <w:lang w:eastAsia="en-US"/>
        </w:rPr>
        <w:t>а) Промени в бюджета на проекта, водещи до увеличаване на първоначално договорения процент и размер, предвидени в чл. 2.1 от административния договор за предоставяне на безвъзмездна финансова помощ, и/или водещи до превишаване на средствата по „тип разходи“, за които има определен размер в нормативен акт, в акт на правото на европейския съюз или в Насоките  по ПТС;</w:t>
      </w:r>
    </w:p>
    <w:p w:rsidR="007E360C" w:rsidRPr="00496FD7" w:rsidRDefault="007E360C" w:rsidP="007E360C">
      <w:pPr>
        <w:tabs>
          <w:tab w:val="left" w:pos="2302"/>
        </w:tabs>
        <w:spacing w:after="120"/>
        <w:ind w:firstLine="567"/>
        <w:rPr>
          <w:szCs w:val="24"/>
          <w:lang w:eastAsia="en-US"/>
        </w:rPr>
      </w:pPr>
      <w:r w:rsidRPr="00496FD7">
        <w:rPr>
          <w:szCs w:val="24"/>
          <w:lang w:eastAsia="en-US"/>
        </w:rPr>
        <w:t xml:space="preserve">б) Промени, които поставят под въпрос постигането на основната цел и планираните резултати на проекта и имат за цел или резултат внасяне на изменения в проекта, които биха поставили под въпрос решението за отпускане на БФП. </w:t>
      </w:r>
    </w:p>
    <w:p w:rsidR="007E360C" w:rsidRPr="00496FD7" w:rsidRDefault="007E360C" w:rsidP="007E360C">
      <w:pPr>
        <w:tabs>
          <w:tab w:val="left" w:pos="2302"/>
        </w:tabs>
        <w:spacing w:after="120"/>
        <w:ind w:firstLine="567"/>
        <w:rPr>
          <w:szCs w:val="24"/>
          <w:lang w:eastAsia="en-US"/>
        </w:rPr>
      </w:pPr>
      <w:r w:rsidRPr="00496FD7">
        <w:rPr>
          <w:szCs w:val="24"/>
          <w:lang w:eastAsia="en-US"/>
        </w:rPr>
        <w:t xml:space="preserve">в) Промени, които биха представлявали нарушение на принципа на равнопоставеност на кандидатите и нарушават конкурентните условия, заложени в </w:t>
      </w:r>
      <w:r w:rsidR="007C4548" w:rsidRPr="00496FD7">
        <w:rPr>
          <w:szCs w:val="24"/>
          <w:lang w:eastAsia="en-US"/>
        </w:rPr>
        <w:t>Насоките по процедурата</w:t>
      </w:r>
      <w:r w:rsidRPr="00496FD7">
        <w:rPr>
          <w:szCs w:val="24"/>
          <w:lang w:eastAsia="en-US"/>
        </w:rPr>
        <w:t>, и приложимата нормативна уредба към съответната процедура за предоставяне на безвъзмездна финансова помощ.</w:t>
      </w:r>
    </w:p>
    <w:p w:rsidR="007E360C" w:rsidRPr="00496FD7" w:rsidRDefault="007E360C" w:rsidP="007E360C">
      <w:pPr>
        <w:spacing w:after="240"/>
        <w:ind w:firstLine="567"/>
        <w:rPr>
          <w:szCs w:val="24"/>
          <w:lang w:eastAsia="en-US"/>
        </w:rPr>
      </w:pPr>
      <w:r w:rsidRPr="00496FD7">
        <w:rPr>
          <w:szCs w:val="24"/>
          <w:lang w:eastAsia="en-US"/>
        </w:rPr>
        <w:t>г) Промени, които биха довели до несъответствие на проекта със съответните правила за държавна помощ.</w:t>
      </w:r>
    </w:p>
    <w:p w:rsidR="007E360C" w:rsidRPr="00496FD7" w:rsidRDefault="007E360C" w:rsidP="00E80472">
      <w:pPr>
        <w:numPr>
          <w:ilvl w:val="0"/>
          <w:numId w:val="27"/>
        </w:numPr>
        <w:tabs>
          <w:tab w:val="num" w:pos="993"/>
        </w:tabs>
        <w:spacing w:before="134"/>
        <w:ind w:left="0" w:firstLine="567"/>
        <w:rPr>
          <w:spacing w:val="10"/>
          <w:szCs w:val="24"/>
          <w:lang w:eastAsia="bg-BG"/>
        </w:rPr>
      </w:pPr>
      <w:r w:rsidRPr="00496FD7">
        <w:rPr>
          <w:szCs w:val="24"/>
          <w:lang w:eastAsia="bg-BG"/>
        </w:rPr>
        <w:t>Одобреният с административния договор проект може да бъде изменян и/или допълван по мотивирано искане на бенефициента (</w:t>
      </w:r>
      <w:hyperlink r:id="rId92" w:tooltip="Писмо за промяна на договор за предоставяне на безвъзмездна финансова помощ " w:history="1">
        <w:r w:rsidRPr="00496FD7">
          <w:rPr>
            <w:rStyle w:val="Hyperlink"/>
            <w:i/>
            <w:szCs w:val="24"/>
            <w:lang w:eastAsia="bg-BG"/>
          </w:rPr>
          <w:t>Приложение № 3.</w:t>
        </w:r>
        <w:r w:rsidR="00094696">
          <w:rPr>
            <w:rStyle w:val="Hyperlink"/>
            <w:i/>
            <w:szCs w:val="24"/>
            <w:lang w:eastAsia="bg-BG"/>
          </w:rPr>
          <w:t>09</w:t>
        </w:r>
      </w:hyperlink>
      <w:r w:rsidRPr="00496FD7">
        <w:rPr>
          <w:szCs w:val="24"/>
          <w:lang w:eastAsia="bg-BG"/>
        </w:rPr>
        <w:t xml:space="preserve"> от ПНУИ на ПТС) и извън случаите по т. 2). Промяната не може да води до нарушаване на принципите по чл. 29, ал. 1. от </w:t>
      </w:r>
      <w:r w:rsidR="00436CBC" w:rsidRPr="00496FD7">
        <w:rPr>
          <w:szCs w:val="24"/>
          <w:lang w:eastAsia="bg-BG"/>
        </w:rPr>
        <w:t>ЗУСЕФСУ</w:t>
      </w:r>
      <w:r w:rsidRPr="00496FD7">
        <w:rPr>
          <w:szCs w:val="24"/>
          <w:lang w:eastAsia="bg-BG"/>
        </w:rPr>
        <w:t xml:space="preserve">. </w:t>
      </w:r>
    </w:p>
    <w:p w:rsidR="007E360C" w:rsidRPr="00496FD7" w:rsidRDefault="007E360C" w:rsidP="00E80472">
      <w:pPr>
        <w:numPr>
          <w:ilvl w:val="0"/>
          <w:numId w:val="27"/>
        </w:numPr>
        <w:tabs>
          <w:tab w:val="num" w:pos="993"/>
        </w:tabs>
        <w:spacing w:before="134"/>
        <w:ind w:left="0" w:firstLine="567"/>
        <w:rPr>
          <w:spacing w:val="10"/>
          <w:szCs w:val="24"/>
          <w:lang w:eastAsia="bg-BG"/>
        </w:rPr>
      </w:pPr>
      <w:r w:rsidRPr="00496FD7">
        <w:rPr>
          <w:szCs w:val="24"/>
          <w:lang w:eastAsia="bg-BG"/>
        </w:rPr>
        <w:lastRenderedPageBreak/>
        <w:t xml:space="preserve">Когато не е възможно да бъде приведен в съответствие с промяната по т. 2), както и при несъгласие на другата страна с нея, административният договор може да бъде едностранно прекратен. </w:t>
      </w:r>
    </w:p>
    <w:p w:rsidR="007E360C" w:rsidRPr="00496FD7" w:rsidRDefault="007E360C" w:rsidP="00E80472">
      <w:pPr>
        <w:numPr>
          <w:ilvl w:val="0"/>
          <w:numId w:val="27"/>
        </w:numPr>
        <w:tabs>
          <w:tab w:val="num" w:pos="993"/>
        </w:tabs>
        <w:spacing w:before="134"/>
        <w:ind w:left="0" w:firstLine="567"/>
        <w:rPr>
          <w:spacing w:val="10"/>
          <w:szCs w:val="24"/>
          <w:lang w:eastAsia="bg-BG"/>
        </w:rPr>
      </w:pPr>
      <w:r w:rsidRPr="00496FD7">
        <w:rPr>
          <w:szCs w:val="24"/>
          <w:lang w:eastAsia="bg-BG"/>
        </w:rPr>
        <w:t xml:space="preserve">Финансирането с безвъзмездна финансова помощ може да се прекрати едностранно от Ръководителя на управляващия орган, когато бенефициент не сключи договор с изпълнител до 12 месеца от изтичането на срока, предвиден за неговото сключване. Случаите, при които този срок спира да тече, се определят с акта по чл. 28, ал. 1, т. 1. от </w:t>
      </w:r>
      <w:r w:rsidR="00436CBC" w:rsidRPr="00496FD7">
        <w:rPr>
          <w:szCs w:val="24"/>
          <w:lang w:eastAsia="bg-BG"/>
        </w:rPr>
        <w:t>ЗУСЕФСУ</w:t>
      </w:r>
      <w:r w:rsidRPr="00496FD7">
        <w:rPr>
          <w:szCs w:val="24"/>
          <w:lang w:eastAsia="bg-BG"/>
        </w:rPr>
        <w:t>.</w:t>
      </w:r>
    </w:p>
    <w:p w:rsidR="007E360C" w:rsidRPr="00496FD7" w:rsidRDefault="007E360C" w:rsidP="00E80472">
      <w:pPr>
        <w:numPr>
          <w:ilvl w:val="0"/>
          <w:numId w:val="27"/>
        </w:numPr>
        <w:tabs>
          <w:tab w:val="num" w:pos="993"/>
        </w:tabs>
        <w:spacing w:before="134"/>
        <w:ind w:left="0" w:firstLine="567"/>
        <w:rPr>
          <w:spacing w:val="10"/>
          <w:szCs w:val="24"/>
          <w:lang w:eastAsia="bg-BG"/>
        </w:rPr>
      </w:pPr>
      <w:r w:rsidRPr="00496FD7">
        <w:rPr>
          <w:szCs w:val="24"/>
          <w:lang w:eastAsia="bg-BG"/>
        </w:rPr>
        <w:t>Ръководителят на УО може едностранно да прекрати административния договор и за да предотврати или отстрани тежки последици за обществения интерес.</w:t>
      </w:r>
    </w:p>
    <w:p w:rsidR="007E360C" w:rsidRPr="00496FD7" w:rsidRDefault="007E360C" w:rsidP="00E80472">
      <w:pPr>
        <w:numPr>
          <w:ilvl w:val="0"/>
          <w:numId w:val="27"/>
        </w:numPr>
        <w:tabs>
          <w:tab w:val="num" w:pos="993"/>
        </w:tabs>
        <w:spacing w:before="134"/>
        <w:ind w:left="0" w:firstLine="567"/>
        <w:rPr>
          <w:spacing w:val="10"/>
          <w:szCs w:val="24"/>
          <w:lang w:eastAsia="bg-BG"/>
        </w:rPr>
      </w:pPr>
      <w:r w:rsidRPr="00496FD7">
        <w:rPr>
          <w:szCs w:val="24"/>
          <w:lang w:eastAsia="bg-BG"/>
        </w:rPr>
        <w:t>Когато по сключен договор за предоставяне на БФП бенефициента  прецени, че няма да извършва дейности по проекта и няма да използва средства от  предоставената БФП за реализиране на проекта, бенефициента  може да внесе искане за прекратяване на договора в съответствие с изискванията на ПНУИ на ПТС.</w:t>
      </w:r>
    </w:p>
    <w:p w:rsidR="007E360C" w:rsidRPr="00496FD7" w:rsidRDefault="007E360C" w:rsidP="00E80472">
      <w:pPr>
        <w:numPr>
          <w:ilvl w:val="0"/>
          <w:numId w:val="27"/>
        </w:numPr>
        <w:tabs>
          <w:tab w:val="num" w:pos="993"/>
        </w:tabs>
        <w:spacing w:before="134"/>
        <w:ind w:left="0" w:firstLine="567"/>
        <w:rPr>
          <w:spacing w:val="10"/>
          <w:szCs w:val="24"/>
          <w:lang w:eastAsia="bg-BG"/>
        </w:rPr>
      </w:pPr>
      <w:r w:rsidRPr="00496FD7">
        <w:rPr>
          <w:szCs w:val="24"/>
          <w:lang w:eastAsia="bg-BG"/>
        </w:rPr>
        <w:t xml:space="preserve">Точки 2) – 13) се прилагат и когато безвъзмездната помощ е предоставена със заповед на Ръководителя на Управляващия орган, в случаите в които бенефициент е УО на ПТС. </w:t>
      </w:r>
    </w:p>
    <w:p w:rsidR="007E360C" w:rsidRPr="00496FD7" w:rsidRDefault="007E360C" w:rsidP="00E80472">
      <w:pPr>
        <w:numPr>
          <w:ilvl w:val="0"/>
          <w:numId w:val="27"/>
        </w:numPr>
        <w:tabs>
          <w:tab w:val="num" w:pos="993"/>
        </w:tabs>
        <w:spacing w:before="134"/>
        <w:ind w:left="0" w:firstLine="567"/>
        <w:rPr>
          <w:szCs w:val="24"/>
          <w:lang w:eastAsia="bg-BG"/>
        </w:rPr>
      </w:pPr>
      <w:r w:rsidRPr="00496FD7">
        <w:rPr>
          <w:szCs w:val="24"/>
          <w:lang w:eastAsia="bg-BG"/>
        </w:rPr>
        <w:t>В договора или в заповедта за предоставяне на БФП могат да се предвидят обстоятелства, при промяната на които бенефициентът уведомява УО на ПТС без да е необходимо изменение на договора, съответно на заповедта.</w:t>
      </w:r>
    </w:p>
    <w:p w:rsidR="007E360C" w:rsidRPr="00496FD7" w:rsidRDefault="007E360C" w:rsidP="007E360C">
      <w:pPr>
        <w:pStyle w:val="Style3"/>
        <w:rPr>
          <w:lang w:val="bg-BG"/>
        </w:rPr>
      </w:pPr>
      <w:bookmarkStart w:id="257" w:name="_Toc479775680"/>
      <w:r w:rsidRPr="00496FD7">
        <w:rPr>
          <w:lang w:val="bg-BG"/>
        </w:rPr>
        <w:t>Процедура при изменение/ промяна на договор/заповед</w:t>
      </w:r>
      <w:bookmarkEnd w:id="257"/>
    </w:p>
    <w:p w:rsidR="007E360C" w:rsidRPr="00496FD7" w:rsidRDefault="007E360C" w:rsidP="00E80472">
      <w:pPr>
        <w:pStyle w:val="ListParagraph"/>
        <w:numPr>
          <w:ilvl w:val="3"/>
          <w:numId w:val="3"/>
        </w:numPr>
        <w:tabs>
          <w:tab w:val="num" w:pos="1020"/>
        </w:tabs>
        <w:spacing w:before="134"/>
        <w:ind w:left="0" w:firstLine="567"/>
        <w:rPr>
          <w:szCs w:val="24"/>
          <w:lang w:eastAsia="bg-BG"/>
        </w:rPr>
      </w:pPr>
      <w:r w:rsidRPr="00496FD7">
        <w:rPr>
          <w:szCs w:val="24"/>
          <w:lang w:eastAsia="bg-BG"/>
        </w:rPr>
        <w:t>След получаване на писмено искане от бенефициента или по инициатива на УО за изменение на административния договор/ заповед, служител от отдел „Програмиране“ по резолюция на началника на отдел „Програмиране“ извършва анализ и изготвя мотивиран доклад, в който отразява становището по поисканите от бенефициента изменения.</w:t>
      </w:r>
      <w:r w:rsidR="00094696">
        <w:rPr>
          <w:szCs w:val="24"/>
          <w:lang w:eastAsia="bg-BG"/>
        </w:rPr>
        <w:t xml:space="preserve"> Бенефициента отразява помените в ИСУН.</w:t>
      </w:r>
    </w:p>
    <w:p w:rsidR="007E360C" w:rsidRPr="00496FD7" w:rsidRDefault="007E360C" w:rsidP="00E80472">
      <w:pPr>
        <w:pStyle w:val="ListParagraph"/>
        <w:numPr>
          <w:ilvl w:val="3"/>
          <w:numId w:val="3"/>
        </w:numPr>
        <w:tabs>
          <w:tab w:val="num" w:pos="1020"/>
        </w:tabs>
        <w:spacing w:before="134"/>
        <w:ind w:left="0" w:firstLine="567"/>
        <w:rPr>
          <w:szCs w:val="24"/>
          <w:lang w:eastAsia="bg-BG"/>
        </w:rPr>
      </w:pPr>
      <w:r w:rsidRPr="00496FD7">
        <w:rPr>
          <w:szCs w:val="24"/>
          <w:lang w:eastAsia="bg-BG"/>
        </w:rPr>
        <w:t xml:space="preserve">След одобрение на доклада по т. 1 служител от отдел „Програмиране изготвя проект на анекс към договор/ заповед за изменение. </w:t>
      </w:r>
    </w:p>
    <w:p w:rsidR="007E360C" w:rsidRPr="00496FD7" w:rsidRDefault="007E360C" w:rsidP="00E80472">
      <w:pPr>
        <w:pStyle w:val="ListParagraph"/>
        <w:numPr>
          <w:ilvl w:val="3"/>
          <w:numId w:val="3"/>
        </w:numPr>
        <w:tabs>
          <w:tab w:val="num" w:pos="1020"/>
        </w:tabs>
        <w:spacing w:before="134"/>
        <w:ind w:left="0" w:firstLine="567"/>
        <w:rPr>
          <w:szCs w:val="24"/>
          <w:lang w:eastAsia="bg-BG"/>
        </w:rPr>
      </w:pPr>
      <w:r w:rsidRPr="00496FD7">
        <w:rPr>
          <w:szCs w:val="24"/>
          <w:lang w:eastAsia="bg-BG"/>
        </w:rPr>
        <w:t>Всяко изменение на договора/заповедта за предоставяне на БФП се изпълнява процедур</w:t>
      </w:r>
      <w:r w:rsidR="00094696">
        <w:rPr>
          <w:szCs w:val="24"/>
          <w:lang w:eastAsia="bg-BG"/>
        </w:rPr>
        <w:t>ата по изготвяне и съгласуване.</w:t>
      </w:r>
    </w:p>
    <w:p w:rsidR="007E360C" w:rsidRPr="00496FD7" w:rsidRDefault="007E360C" w:rsidP="00E80472">
      <w:pPr>
        <w:pStyle w:val="ListParagraph"/>
        <w:numPr>
          <w:ilvl w:val="3"/>
          <w:numId w:val="3"/>
        </w:numPr>
        <w:tabs>
          <w:tab w:val="num" w:pos="1020"/>
        </w:tabs>
        <w:spacing w:before="134"/>
        <w:ind w:left="0" w:firstLine="567"/>
        <w:rPr>
          <w:szCs w:val="24"/>
          <w:lang w:eastAsia="bg-BG"/>
        </w:rPr>
      </w:pPr>
      <w:r w:rsidRPr="00496FD7">
        <w:rPr>
          <w:szCs w:val="24"/>
          <w:lang w:eastAsia="bg-BG"/>
        </w:rPr>
        <w:t xml:space="preserve">След подписване на изменение на административния договор/ издаване на заповедта за изменение в срок до 3 работни дни от регистрирането му в деловодната система на МТС, служител от отдел „Програмиране“ </w:t>
      </w:r>
      <w:r w:rsidR="00094696">
        <w:rPr>
          <w:szCs w:val="24"/>
          <w:lang w:eastAsia="bg-BG"/>
        </w:rPr>
        <w:t>отразява</w:t>
      </w:r>
      <w:r w:rsidRPr="00496FD7">
        <w:rPr>
          <w:szCs w:val="24"/>
          <w:lang w:eastAsia="bg-BG"/>
        </w:rPr>
        <w:t xml:space="preserve"> информацията в модул „Договори“ на ИСУН 2020.</w:t>
      </w:r>
    </w:p>
    <w:p w:rsidR="007E360C" w:rsidRPr="00496FD7" w:rsidRDefault="007E360C" w:rsidP="00E80472">
      <w:pPr>
        <w:pStyle w:val="ListParagraph"/>
        <w:numPr>
          <w:ilvl w:val="3"/>
          <w:numId w:val="3"/>
        </w:numPr>
        <w:tabs>
          <w:tab w:val="num" w:pos="1020"/>
        </w:tabs>
        <w:spacing w:before="134"/>
        <w:ind w:left="0" w:firstLine="567"/>
        <w:rPr>
          <w:szCs w:val="24"/>
          <w:lang w:eastAsia="bg-BG"/>
        </w:rPr>
      </w:pPr>
      <w:r w:rsidRPr="00496FD7">
        <w:rPr>
          <w:szCs w:val="24"/>
          <w:lang w:eastAsia="bg-BG"/>
        </w:rPr>
        <w:t>След постъпване на искане за промяна на административния договор/ промяна на заповедта,</w:t>
      </w:r>
      <w:r w:rsidR="00F53D99">
        <w:rPr>
          <w:szCs w:val="24"/>
          <w:lang w:eastAsia="bg-BG"/>
        </w:rPr>
        <w:t xml:space="preserve"> по резолюция на началник на отдел „Програмиране“</w:t>
      </w:r>
      <w:r w:rsidR="00F53D99" w:rsidRPr="00496FD7">
        <w:rPr>
          <w:szCs w:val="24"/>
          <w:lang w:eastAsia="bg-BG"/>
        </w:rPr>
        <w:t xml:space="preserve"> </w:t>
      </w:r>
      <w:r w:rsidRPr="00496FD7">
        <w:rPr>
          <w:szCs w:val="24"/>
          <w:lang w:eastAsia="bg-BG"/>
        </w:rPr>
        <w:t xml:space="preserve">служител от отдел „Програмиране“ </w:t>
      </w:r>
      <w:r w:rsidR="00094696">
        <w:rPr>
          <w:szCs w:val="24"/>
          <w:lang w:eastAsia="bg-BG"/>
        </w:rPr>
        <w:t xml:space="preserve">извършва анализ на въведеното от бенефициента искане </w:t>
      </w:r>
      <w:r w:rsidR="00F53D99">
        <w:rPr>
          <w:szCs w:val="24"/>
          <w:lang w:eastAsia="bg-BG"/>
        </w:rPr>
        <w:t>в ИСУН и отразява</w:t>
      </w:r>
      <w:r w:rsidRPr="00496FD7">
        <w:rPr>
          <w:szCs w:val="24"/>
          <w:lang w:eastAsia="bg-BG"/>
        </w:rPr>
        <w:t xml:space="preserve"> информацията в модул „Договори“ на ИСУН 2020.</w:t>
      </w:r>
    </w:p>
    <w:p w:rsidR="007E360C" w:rsidRPr="00496FD7" w:rsidRDefault="007E360C" w:rsidP="00E80472">
      <w:pPr>
        <w:pStyle w:val="ListParagraph"/>
        <w:numPr>
          <w:ilvl w:val="3"/>
          <w:numId w:val="3"/>
        </w:numPr>
        <w:tabs>
          <w:tab w:val="num" w:pos="1020"/>
        </w:tabs>
        <w:spacing w:before="134"/>
        <w:ind w:left="0" w:firstLine="567"/>
        <w:rPr>
          <w:szCs w:val="24"/>
          <w:lang w:eastAsia="bg-BG"/>
        </w:rPr>
      </w:pPr>
      <w:r w:rsidRPr="00496FD7">
        <w:rPr>
          <w:szCs w:val="24"/>
          <w:lang w:eastAsia="bg-BG"/>
        </w:rPr>
        <w:t>Срокът по т. 3) и т. 4 не се прилага в случай, че информационната система ИСУН 2020  изведе съобщение за валидационни грешки, като например:</w:t>
      </w:r>
    </w:p>
    <w:p w:rsidR="007E360C" w:rsidRPr="00496FD7" w:rsidRDefault="007E360C" w:rsidP="007E360C">
      <w:pPr>
        <w:spacing w:before="134"/>
        <w:ind w:firstLine="567"/>
        <w:rPr>
          <w:szCs w:val="24"/>
          <w:lang w:eastAsia="bg-BG"/>
        </w:rPr>
      </w:pPr>
      <w:r w:rsidRPr="00496FD7">
        <w:rPr>
          <w:szCs w:val="24"/>
          <w:lang w:eastAsia="bg-BG"/>
        </w:rPr>
        <w:t>- Не може да се създаде нова версия на договор, когато съществува пакет отчетни документи, който не е в статус Приет или Отхвърлен.</w:t>
      </w:r>
    </w:p>
    <w:p w:rsidR="007E360C" w:rsidRPr="00496FD7" w:rsidRDefault="007E360C" w:rsidP="007E360C">
      <w:pPr>
        <w:spacing w:before="134"/>
        <w:ind w:firstLine="567"/>
        <w:rPr>
          <w:b/>
          <w:szCs w:val="24"/>
          <w:lang w:eastAsia="bg-BG"/>
        </w:rPr>
      </w:pPr>
      <w:r w:rsidRPr="00496FD7">
        <w:rPr>
          <w:szCs w:val="24"/>
          <w:lang w:eastAsia="bg-BG"/>
        </w:rPr>
        <w:lastRenderedPageBreak/>
        <w:t>- Не може да се създаде нова версия на договор, когато съществува процедура за избор на изпълнител и сключени договори, която не е в статус Актуален или Архивиран.</w:t>
      </w:r>
    </w:p>
    <w:p w:rsidR="007E360C" w:rsidRPr="00496FD7" w:rsidRDefault="007E360C" w:rsidP="007E360C">
      <w:pPr>
        <w:spacing w:before="134"/>
        <w:ind w:firstLine="567"/>
        <w:rPr>
          <w:b/>
          <w:szCs w:val="24"/>
          <w:lang w:eastAsia="bg-BG"/>
        </w:rPr>
      </w:pPr>
      <w:r w:rsidRPr="00496FD7">
        <w:rPr>
          <w:szCs w:val="24"/>
          <w:lang w:eastAsia="bg-BG"/>
        </w:rPr>
        <w:t>- Не може да се създаде нова версия на договор, когато съществува план за разходване на средствата, който не е в статус Актуален или Архивиран.</w:t>
      </w:r>
    </w:p>
    <w:p w:rsidR="007E360C" w:rsidRPr="00496FD7" w:rsidRDefault="007E360C" w:rsidP="00E80472">
      <w:pPr>
        <w:pStyle w:val="ListParagraph"/>
        <w:numPr>
          <w:ilvl w:val="3"/>
          <w:numId w:val="3"/>
        </w:numPr>
        <w:tabs>
          <w:tab w:val="num" w:pos="1020"/>
        </w:tabs>
        <w:spacing w:before="134"/>
        <w:ind w:left="0" w:firstLine="567"/>
        <w:rPr>
          <w:szCs w:val="24"/>
          <w:lang w:eastAsia="bg-BG"/>
        </w:rPr>
      </w:pPr>
      <w:r w:rsidRPr="00496FD7">
        <w:rPr>
          <w:szCs w:val="24"/>
          <w:lang w:eastAsia="bg-BG"/>
        </w:rPr>
        <w:t>Промяната/ изменението на договора/ заповедта се отразява в ИСУН 2020 от отговорния служител от отдел „Програмиране“ след отстраняване на валидационните грешки по т. 5) (въвеждане на информацията от Бенефициента в полетата, пакет отчетни документи е със статус актуален и т.н.).</w:t>
      </w:r>
    </w:p>
    <w:p w:rsidR="007E360C" w:rsidRPr="00496FD7" w:rsidRDefault="007E360C" w:rsidP="007E360C">
      <w:pPr>
        <w:pStyle w:val="ListParagraph"/>
        <w:spacing w:before="134"/>
        <w:ind w:left="0"/>
        <w:rPr>
          <w:szCs w:val="24"/>
          <w:lang w:eastAsia="bg-BG"/>
        </w:rPr>
      </w:pPr>
    </w:p>
    <w:p w:rsidR="007E360C" w:rsidRPr="00496FD7" w:rsidRDefault="007E360C" w:rsidP="007E360C">
      <w:pPr>
        <w:pStyle w:val="Style2"/>
        <w:rPr>
          <w:lang w:val="bg-BG" w:eastAsia="bg-BG"/>
        </w:rPr>
      </w:pPr>
      <w:bookmarkStart w:id="258" w:name="_Toc479775232"/>
      <w:bookmarkStart w:id="259" w:name="_Toc479775233"/>
      <w:bookmarkStart w:id="260" w:name="_Toc479775234"/>
      <w:bookmarkStart w:id="261" w:name="_Toc464561714"/>
      <w:bookmarkStart w:id="262" w:name="_Toc464573426"/>
      <w:bookmarkStart w:id="263" w:name="_Toc464573879"/>
      <w:bookmarkStart w:id="264" w:name="_Toc464561715"/>
      <w:bookmarkStart w:id="265" w:name="_Toc464573427"/>
      <w:bookmarkStart w:id="266" w:name="_Toc464573880"/>
      <w:bookmarkStart w:id="267" w:name="_Toc464561716"/>
      <w:bookmarkStart w:id="268" w:name="_Toc464573428"/>
      <w:bookmarkStart w:id="269" w:name="_Toc464573881"/>
      <w:bookmarkStart w:id="270" w:name="_Toc464561717"/>
      <w:bookmarkStart w:id="271" w:name="_Toc464573429"/>
      <w:bookmarkStart w:id="272" w:name="_Toc464573882"/>
      <w:bookmarkStart w:id="273" w:name="_Toc464561718"/>
      <w:bookmarkStart w:id="274" w:name="_Toc464573430"/>
      <w:bookmarkStart w:id="275" w:name="_Toc464573883"/>
      <w:bookmarkStart w:id="276" w:name="_Toc464561719"/>
      <w:bookmarkStart w:id="277" w:name="_Toc464573431"/>
      <w:bookmarkStart w:id="278" w:name="_Toc464573884"/>
      <w:bookmarkStart w:id="279" w:name="_Toc464561720"/>
      <w:bookmarkStart w:id="280" w:name="_Toc464573432"/>
      <w:bookmarkStart w:id="281" w:name="_Toc464573885"/>
      <w:bookmarkStart w:id="282" w:name="_Toc464561721"/>
      <w:bookmarkStart w:id="283" w:name="_Toc464573433"/>
      <w:bookmarkStart w:id="284" w:name="_Toc464573886"/>
      <w:bookmarkStart w:id="285" w:name="_Toc464561722"/>
      <w:bookmarkStart w:id="286" w:name="_Toc464573434"/>
      <w:bookmarkStart w:id="287" w:name="_Toc464573887"/>
      <w:bookmarkStart w:id="288" w:name="_Toc464561723"/>
      <w:bookmarkStart w:id="289" w:name="_Toc464573435"/>
      <w:bookmarkStart w:id="290" w:name="_Toc464573888"/>
      <w:bookmarkStart w:id="291" w:name="_Toc464561724"/>
      <w:bookmarkStart w:id="292" w:name="_Toc464573436"/>
      <w:bookmarkStart w:id="293" w:name="_Toc464573889"/>
      <w:bookmarkStart w:id="294" w:name="_Toc464561725"/>
      <w:bookmarkStart w:id="295" w:name="_Toc464573437"/>
      <w:bookmarkStart w:id="296" w:name="_Toc464573890"/>
      <w:bookmarkStart w:id="297" w:name="_Toc464561726"/>
      <w:bookmarkStart w:id="298" w:name="_Toc464573438"/>
      <w:bookmarkStart w:id="299" w:name="_Toc464573891"/>
      <w:bookmarkStart w:id="300" w:name="_Toc464561727"/>
      <w:bookmarkStart w:id="301" w:name="_Toc464573439"/>
      <w:bookmarkStart w:id="302" w:name="_Toc464573892"/>
      <w:bookmarkStart w:id="303" w:name="_Toc464561728"/>
      <w:bookmarkStart w:id="304" w:name="_Toc464573440"/>
      <w:bookmarkStart w:id="305" w:name="_Toc464573893"/>
      <w:bookmarkStart w:id="306" w:name="_Toc464561729"/>
      <w:bookmarkStart w:id="307" w:name="_Toc464573441"/>
      <w:bookmarkStart w:id="308" w:name="_Toc464573894"/>
      <w:bookmarkStart w:id="309" w:name="_Toc464561730"/>
      <w:bookmarkStart w:id="310" w:name="_Toc464573442"/>
      <w:bookmarkStart w:id="311" w:name="_Toc464573895"/>
      <w:bookmarkStart w:id="312" w:name="_Toc464561731"/>
      <w:bookmarkStart w:id="313" w:name="_Toc464573443"/>
      <w:bookmarkStart w:id="314" w:name="_Toc464573896"/>
      <w:bookmarkStart w:id="315" w:name="_Toc464561732"/>
      <w:bookmarkStart w:id="316" w:name="_Toc464573444"/>
      <w:bookmarkStart w:id="317" w:name="_Toc464573897"/>
      <w:bookmarkStart w:id="318" w:name="_Toc464561733"/>
      <w:bookmarkStart w:id="319" w:name="_Toc464573445"/>
      <w:bookmarkStart w:id="320" w:name="_Toc464573898"/>
      <w:bookmarkStart w:id="321" w:name="_Toc464561734"/>
      <w:bookmarkStart w:id="322" w:name="_Toc464573446"/>
      <w:bookmarkStart w:id="323" w:name="_Toc464573899"/>
      <w:bookmarkStart w:id="324" w:name="_Toc464561735"/>
      <w:bookmarkStart w:id="325" w:name="_Toc464573447"/>
      <w:bookmarkStart w:id="326" w:name="_Toc464573900"/>
      <w:bookmarkStart w:id="327" w:name="_Toc464561736"/>
      <w:bookmarkStart w:id="328" w:name="_Toc464573448"/>
      <w:bookmarkStart w:id="329" w:name="_Toc464573901"/>
      <w:bookmarkStart w:id="330" w:name="_Toc464561737"/>
      <w:bookmarkStart w:id="331" w:name="_Toc464573449"/>
      <w:bookmarkStart w:id="332" w:name="_Toc464573902"/>
      <w:bookmarkStart w:id="333" w:name="_Toc464561738"/>
      <w:bookmarkStart w:id="334" w:name="_Toc464573450"/>
      <w:bookmarkStart w:id="335" w:name="_Toc464573903"/>
      <w:bookmarkStart w:id="336" w:name="_Toc464561739"/>
      <w:bookmarkStart w:id="337" w:name="_Toc464573451"/>
      <w:bookmarkStart w:id="338" w:name="_Toc464573904"/>
      <w:bookmarkStart w:id="339" w:name="_Toc464561740"/>
      <w:bookmarkStart w:id="340" w:name="_Toc464573452"/>
      <w:bookmarkStart w:id="341" w:name="_Toc464573905"/>
      <w:bookmarkStart w:id="342" w:name="_Toc464561741"/>
      <w:bookmarkStart w:id="343" w:name="_Toc464573453"/>
      <w:bookmarkStart w:id="344" w:name="_Toc464573906"/>
      <w:bookmarkStart w:id="345" w:name="_Toc464561742"/>
      <w:bookmarkStart w:id="346" w:name="_Toc464573454"/>
      <w:bookmarkStart w:id="347" w:name="_Toc464573907"/>
      <w:bookmarkStart w:id="348" w:name="_Toc464561743"/>
      <w:bookmarkStart w:id="349" w:name="_Toc464573455"/>
      <w:bookmarkStart w:id="350" w:name="_Toc464573908"/>
      <w:bookmarkStart w:id="351" w:name="_Toc464561744"/>
      <w:bookmarkStart w:id="352" w:name="_Toc464573456"/>
      <w:bookmarkStart w:id="353" w:name="_Toc464573909"/>
      <w:bookmarkStart w:id="354" w:name="_Toc464561745"/>
      <w:bookmarkStart w:id="355" w:name="_Toc464573457"/>
      <w:bookmarkStart w:id="356" w:name="_Toc464573910"/>
      <w:bookmarkStart w:id="357" w:name="_Toc464561746"/>
      <w:bookmarkStart w:id="358" w:name="_Toc464573458"/>
      <w:bookmarkStart w:id="359" w:name="_Toc464573911"/>
      <w:bookmarkStart w:id="360" w:name="_Toc464561747"/>
      <w:bookmarkStart w:id="361" w:name="_Toc464573459"/>
      <w:bookmarkStart w:id="362" w:name="_Toc464573912"/>
      <w:bookmarkStart w:id="363" w:name="_Toc464561748"/>
      <w:bookmarkStart w:id="364" w:name="_Toc464573460"/>
      <w:bookmarkStart w:id="365" w:name="_Toc464573913"/>
      <w:bookmarkStart w:id="366" w:name="_Toc464561749"/>
      <w:bookmarkStart w:id="367" w:name="_Toc464573461"/>
      <w:bookmarkStart w:id="368" w:name="_Toc464573914"/>
      <w:bookmarkStart w:id="369" w:name="_Toc464561750"/>
      <w:bookmarkStart w:id="370" w:name="_Toc464573462"/>
      <w:bookmarkStart w:id="371" w:name="_Toc464573915"/>
      <w:bookmarkStart w:id="372" w:name="_Toc464561751"/>
      <w:bookmarkStart w:id="373" w:name="_Toc464573463"/>
      <w:bookmarkStart w:id="374" w:name="_Toc464573916"/>
      <w:bookmarkStart w:id="375" w:name="_Toc464561752"/>
      <w:bookmarkStart w:id="376" w:name="_Toc464573464"/>
      <w:bookmarkStart w:id="377" w:name="_Toc464573917"/>
      <w:bookmarkStart w:id="378" w:name="_Toc479775681"/>
      <w:bookmarkStart w:id="379" w:name="_Toc140150232"/>
      <w:bookmarkStart w:id="380" w:name="_Toc152769909"/>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r w:rsidRPr="00496FD7">
        <w:rPr>
          <w:lang w:val="bg-BG" w:eastAsia="bg-BG"/>
        </w:rPr>
        <w:t>Приключване на Административен договор/Заповед за предоставяне на безвъзмездна финансова помощ</w:t>
      </w:r>
      <w:bookmarkEnd w:id="378"/>
      <w:bookmarkEnd w:id="379"/>
      <w:bookmarkEnd w:id="380"/>
    </w:p>
    <w:p w:rsidR="007E360C" w:rsidRPr="00496FD7" w:rsidRDefault="007E360C" w:rsidP="007E360C">
      <w:r w:rsidRPr="00496FD7">
        <w:t xml:space="preserve">Изпълнението на дейностите от страна на бенефициента по административен договор/заповед за БФП се счита за приключило с подаването на искане за окончателно плащане по проекта. </w:t>
      </w:r>
    </w:p>
    <w:p w:rsidR="007E360C" w:rsidRPr="00496FD7" w:rsidRDefault="007E360C" w:rsidP="00E80472">
      <w:pPr>
        <w:pStyle w:val="ListParagraph"/>
        <w:numPr>
          <w:ilvl w:val="0"/>
          <w:numId w:val="33"/>
        </w:numPr>
        <w:tabs>
          <w:tab w:val="left" w:pos="1134"/>
        </w:tabs>
        <w:ind w:left="0" w:firstLine="851"/>
      </w:pPr>
      <w:r w:rsidRPr="00496FD7">
        <w:t>Ангажиментът на УО на ПТС за изплащане на БФП по даден договор/заповед за предоставяне на БФП се счита за приключил след изплащане на бенефициента на цялата одобрена в искания за плащане от  УО на ПТС безвъзмездна помощ по проекта към бенефициента.</w:t>
      </w:r>
    </w:p>
    <w:p w:rsidR="007E360C" w:rsidRPr="00496FD7" w:rsidRDefault="007E360C" w:rsidP="00E80472">
      <w:pPr>
        <w:pStyle w:val="ListParagraph"/>
        <w:numPr>
          <w:ilvl w:val="0"/>
          <w:numId w:val="33"/>
        </w:numPr>
        <w:tabs>
          <w:tab w:val="left" w:pos="1134"/>
        </w:tabs>
        <w:ind w:left="0" w:firstLine="851"/>
      </w:pPr>
      <w:r w:rsidRPr="00496FD7">
        <w:t xml:space="preserve">В срок до 5 работни дни от извършване на окончателно плащане по договор за предоставяне на БФП, отдел „Финансово управление” представя в отдел „Програмиране” с писмо информация за пълния размер на изплатените и верифицирани средства по дейности по договора. </w:t>
      </w:r>
    </w:p>
    <w:p w:rsidR="007E360C" w:rsidRPr="00496FD7" w:rsidRDefault="007E360C" w:rsidP="00E80472">
      <w:pPr>
        <w:pStyle w:val="ListParagraph"/>
        <w:numPr>
          <w:ilvl w:val="0"/>
          <w:numId w:val="33"/>
        </w:numPr>
        <w:tabs>
          <w:tab w:val="left" w:pos="1134"/>
        </w:tabs>
        <w:ind w:left="0" w:firstLine="851"/>
      </w:pPr>
      <w:r w:rsidRPr="00496FD7">
        <w:t>В случай, че по конкретен договор има неусвоени и/или неверифицирани средства, размерът на отпуснатата БФП по проекта се намалява и неусвоените средства по договора се прибавят към свободните за договориране средства на приоритета.</w:t>
      </w:r>
    </w:p>
    <w:p w:rsidR="007E360C" w:rsidRPr="00496FD7" w:rsidRDefault="007E360C" w:rsidP="00E80472">
      <w:pPr>
        <w:pStyle w:val="ListParagraph"/>
        <w:numPr>
          <w:ilvl w:val="0"/>
          <w:numId w:val="33"/>
        </w:numPr>
        <w:tabs>
          <w:tab w:val="left" w:pos="1134"/>
        </w:tabs>
        <w:ind w:left="0" w:firstLine="851"/>
      </w:pPr>
      <w:bookmarkStart w:id="381" w:name="_Ref395539445"/>
      <w:r w:rsidRPr="00496FD7">
        <w:t>Когато по сключен договор за предоставяне на БФП бенефициента  прецени, че няма да извършва дейности по проекта и няма да използва средства от  предоставената БФП за реализиране на проекта, бенефициента  може да внесе искане за прекратяване на договора.</w:t>
      </w:r>
      <w:bookmarkEnd w:id="381"/>
    </w:p>
    <w:p w:rsidR="007E360C" w:rsidRPr="00496FD7" w:rsidRDefault="007E360C" w:rsidP="007E360C"/>
    <w:p w:rsidR="007E360C" w:rsidRPr="00496FD7" w:rsidRDefault="007E360C" w:rsidP="007E360C">
      <w:r w:rsidRPr="00496FD7">
        <w:t xml:space="preserve">Ако към момента на подаване на искането за прекратяване на договора по </w:t>
      </w:r>
      <w:r w:rsidRPr="00496FD7">
        <w:rPr>
          <w:b/>
        </w:rPr>
        <w:t xml:space="preserve">точка </w:t>
      </w:r>
      <w:r w:rsidRPr="00496FD7">
        <w:fldChar w:fldCharType="begin"/>
      </w:r>
      <w:r w:rsidRPr="00496FD7">
        <w:instrText xml:space="preserve"> REF _Ref395539445 \r \h  \* MERGEFORMAT </w:instrText>
      </w:r>
      <w:r w:rsidRPr="00496FD7">
        <w:fldChar w:fldCharType="separate"/>
      </w:r>
      <w:r w:rsidRPr="00496FD7">
        <w:rPr>
          <w:b/>
        </w:rPr>
        <w:t>4)</w:t>
      </w:r>
      <w:r w:rsidRPr="00496FD7">
        <w:fldChar w:fldCharType="end"/>
      </w:r>
      <w:r w:rsidRPr="00496FD7">
        <w:t>, няма извършени дейности по проекта, не са подавани в УО на ПТС доклади за изпълнението на проекта и по проекта не са изплащани средства от ПТС по авансови и междини искания за плащане не е необходимо да се изпълняват процедурите по приключване на договор чрез подаване на Окончателен доклад и Окончателно искане за плащане.</w:t>
      </w:r>
    </w:p>
    <w:p w:rsidR="007E360C" w:rsidRPr="00496FD7" w:rsidRDefault="007E360C" w:rsidP="007E360C">
      <w:r w:rsidRPr="00496FD7">
        <w:t>УО на ПТС може да отпише задължения и да намали ангажиментите си към Бенефициентите по даден договор за БФП само въз основата на подписан анекс за промяна/прекратяване на договора.</w:t>
      </w:r>
    </w:p>
    <w:p w:rsidR="00294AEF" w:rsidRPr="00496FD7" w:rsidRDefault="00294AEF"/>
    <w:sectPr w:rsidR="00294AEF" w:rsidRPr="00496FD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D7E74" w:rsidRDefault="00CD7E74" w:rsidP="007E360C">
      <w:r>
        <w:separator/>
      </w:r>
    </w:p>
  </w:endnote>
  <w:endnote w:type="continuationSeparator" w:id="0">
    <w:p w:rsidR="00CD7E74" w:rsidRDefault="00CD7E74" w:rsidP="007E36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imes">
    <w:panose1 w:val="02020603050405020304"/>
    <w:charset w:val="CC"/>
    <w:family w:val="roman"/>
    <w:pitch w:val="variable"/>
    <w:sig w:usb0="E0002EFF" w:usb1="C000785B" w:usb2="00000009" w:usb3="00000000" w:csb0="000001FF" w:csb1="00000000"/>
  </w:font>
  <w:font w:name="Futura Bk">
    <w:charset w:val="CC"/>
    <w:family w:val="swiss"/>
    <w:pitch w:val="variable"/>
    <w:sig w:usb0="00000287" w:usb1="00000000" w:usb2="00000000" w:usb3="00000000" w:csb0="0000009F" w:csb1="00000000"/>
  </w:font>
  <w:font w:name="Unv">
    <w:altName w:val="Tahoma"/>
    <w:charset w:val="00"/>
    <w:family w:val="swiss"/>
    <w:pitch w:val="variable"/>
    <w:sig w:usb0="00000003" w:usb1="00000000" w:usb2="00000000" w:usb3="00000000" w:csb0="00000001" w:csb1="00000000"/>
  </w:font>
  <w:font w:name="EUAlbertina-Regu-Identity-H">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7E74" w:rsidRDefault="00CD7E74" w:rsidP="007E360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CD7E74" w:rsidRDefault="00CD7E74" w:rsidP="007E360C">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D7E74" w:rsidRDefault="00CD7E74" w:rsidP="007E360C">
      <w:r>
        <w:separator/>
      </w:r>
    </w:p>
  </w:footnote>
  <w:footnote w:type="continuationSeparator" w:id="0">
    <w:p w:rsidR="00CD7E74" w:rsidRDefault="00CD7E74" w:rsidP="007E360C">
      <w:r>
        <w:continuationSeparator/>
      </w:r>
    </w:p>
  </w:footnote>
  <w:footnote w:id="1">
    <w:p w:rsidR="00CD7E74" w:rsidRPr="007E360C" w:rsidRDefault="00CD7E74" w:rsidP="00995416">
      <w:pPr>
        <w:spacing w:before="120"/>
        <w:rPr>
          <w:szCs w:val="24"/>
          <w:lang w:eastAsia="bg-BG"/>
        </w:rPr>
      </w:pPr>
      <w:r>
        <w:rPr>
          <w:rStyle w:val="FootnoteReference"/>
        </w:rPr>
        <w:footnoteRef/>
      </w:r>
      <w:r>
        <w:t xml:space="preserve"> </w:t>
      </w:r>
      <w:r w:rsidRPr="007E360C">
        <w:rPr>
          <w:szCs w:val="24"/>
          <w:lang w:eastAsia="bg-BG"/>
        </w:rPr>
        <w:t xml:space="preserve">Предвижда се само по приоритет 3 да се открият и процедури на конкурентен подбор за изграждането на зарядна инфраструктура за алтернативни горива и за развитие на интермодални терминали. </w:t>
      </w:r>
    </w:p>
    <w:p w:rsidR="00CD7E74" w:rsidRPr="0019506B" w:rsidRDefault="00CD7E74" w:rsidP="00995416">
      <w:pPr>
        <w:pStyle w:val="FootnoteText"/>
        <w:rPr>
          <w:lang w:val="bg-BG"/>
        </w:rPr>
      </w:pPr>
    </w:p>
  </w:footnote>
  <w:footnote w:id="2">
    <w:p w:rsidR="00CD7E74" w:rsidRPr="009B0FC7" w:rsidRDefault="00CD7E74" w:rsidP="007E360C">
      <w:pPr>
        <w:pStyle w:val="FootnoteText"/>
        <w:ind w:left="284" w:hanging="284"/>
        <w:rPr>
          <w:lang w:val="bg-BG"/>
        </w:rPr>
      </w:pPr>
      <w:r>
        <w:rPr>
          <w:rStyle w:val="FootnoteReference"/>
        </w:rPr>
        <w:footnoteRef/>
      </w:r>
      <w:r>
        <w:rPr>
          <w:lang w:val="bg-BG"/>
        </w:rPr>
        <w:t xml:space="preserve"> Декларацията за липса на конфликт на интереси се подписва от </w:t>
      </w:r>
      <w:r w:rsidRPr="00C720CB">
        <w:rPr>
          <w:lang w:val="bg-BG"/>
        </w:rPr>
        <w:t>на</w:t>
      </w:r>
      <w:r>
        <w:rPr>
          <w:lang w:val="bg-BG"/>
        </w:rPr>
        <w:t>чалника на отдел „Програмиране“</w:t>
      </w:r>
      <w:r w:rsidRPr="00C720CB">
        <w:rPr>
          <w:lang w:val="bg-BG"/>
        </w:rPr>
        <w:t>, директора на дирекция „Координация на програми и проекти“</w:t>
      </w:r>
      <w:r>
        <w:rPr>
          <w:lang w:val="bg-BG"/>
        </w:rPr>
        <w:t xml:space="preserve"> и Ръководителя на УО на ПТС непосредствено преди подписване на оценителния доклад и вземането на решението за предоставяне/ отказ на БФП на проектното предложение.</w:t>
      </w:r>
    </w:p>
  </w:footnote>
  <w:footnote w:id="3">
    <w:p w:rsidR="00CD7E74" w:rsidRPr="00653F41" w:rsidRDefault="00CD7E74" w:rsidP="007E360C">
      <w:pPr>
        <w:pStyle w:val="FootnoteText"/>
        <w:ind w:left="142" w:hanging="142"/>
        <w:rPr>
          <w:lang w:val="bg-BG"/>
        </w:rPr>
      </w:pPr>
      <w:r>
        <w:rPr>
          <w:rStyle w:val="FootnoteReference"/>
        </w:rPr>
        <w:footnoteRef/>
      </w:r>
      <w:r w:rsidRPr="00653F41">
        <w:rPr>
          <w:lang w:val="bg-BG"/>
        </w:rPr>
        <w:t xml:space="preserve"> </w:t>
      </w:r>
      <w:r w:rsidRPr="004C2191">
        <w:rPr>
          <w:lang w:val="bg-BG"/>
        </w:rPr>
        <w:t xml:space="preserve">В съответствие с чл. </w:t>
      </w:r>
      <w:r w:rsidRPr="00842ECC">
        <w:rPr>
          <w:lang w:val="bg-BG"/>
        </w:rPr>
        <w:t>196</w:t>
      </w:r>
      <w:r>
        <w:rPr>
          <w:lang w:val="bg-BG"/>
        </w:rPr>
        <w:t>, пар.1, б. „г“</w:t>
      </w:r>
      <w:r w:rsidRPr="004C2191">
        <w:rPr>
          <w:lang w:val="bg-BG"/>
        </w:rPr>
        <w:t xml:space="preserve"> от Регламент (ЕС, Евратом) № </w:t>
      </w:r>
      <w:r w:rsidRPr="00842ECC">
        <w:rPr>
          <w:lang w:val="bg-BG"/>
        </w:rPr>
        <w:t>1046</w:t>
      </w:r>
      <w:r w:rsidRPr="004C2191">
        <w:rPr>
          <w:lang w:val="bg-BG"/>
        </w:rPr>
        <w:t>/201</w:t>
      </w:r>
      <w:r w:rsidRPr="00842ECC">
        <w:rPr>
          <w:lang w:val="bg-BG"/>
        </w:rPr>
        <w:t>8</w:t>
      </w:r>
      <w:r w:rsidRPr="004C2191">
        <w:rPr>
          <w:lang w:val="bg-BG"/>
        </w:rPr>
        <w:t xml:space="preserve"> на Европейския парламент и на Съвета </w:t>
      </w:r>
    </w:p>
  </w:footnote>
  <w:footnote w:id="4">
    <w:p w:rsidR="00CD7E74" w:rsidRPr="00653F41" w:rsidRDefault="00CD7E74" w:rsidP="007E360C">
      <w:pPr>
        <w:pStyle w:val="FootnoteText"/>
        <w:rPr>
          <w:lang w:val="bg-BG"/>
        </w:rPr>
      </w:pPr>
      <w:r>
        <w:rPr>
          <w:rStyle w:val="FootnoteReference"/>
        </w:rPr>
        <w:footnoteRef/>
      </w:r>
      <w:r w:rsidRPr="00653F41">
        <w:rPr>
          <w:lang w:val="bg-BG"/>
        </w:rPr>
        <w:t xml:space="preserve"> </w:t>
      </w:r>
      <w:r>
        <w:rPr>
          <w:lang w:val="bg-BG"/>
        </w:rPr>
        <w:t xml:space="preserve">За целите на изпълнение на изискванията по чл. 73 от Регламент (ЕС) № 1060/2023 г. </w:t>
      </w:r>
    </w:p>
  </w:footnote>
  <w:footnote w:id="5">
    <w:p w:rsidR="00703EB6" w:rsidRPr="00703EB6" w:rsidRDefault="00703EB6">
      <w:pPr>
        <w:pStyle w:val="FootnoteText"/>
        <w:rPr>
          <w:lang w:val="bg-BG"/>
        </w:rPr>
      </w:pPr>
      <w:r>
        <w:rPr>
          <w:rStyle w:val="FootnoteReference"/>
        </w:rPr>
        <w:footnoteRef/>
      </w:r>
      <w:r>
        <w:t xml:space="preserve"> </w:t>
      </w:r>
      <w:r>
        <w:rPr>
          <w:lang w:val="bg-BG"/>
        </w:rPr>
        <w:t>С изключение на оценката на бюджетни линии</w:t>
      </w:r>
    </w:p>
  </w:footnote>
  <w:footnote w:id="6">
    <w:p w:rsidR="00CD7E74" w:rsidRPr="005B2C5D" w:rsidRDefault="00CD7E74" w:rsidP="007E360C">
      <w:pPr>
        <w:pStyle w:val="FootnoteText"/>
        <w:ind w:left="142" w:hanging="142"/>
        <w:rPr>
          <w:lang w:val="bg-BG"/>
        </w:rPr>
      </w:pPr>
      <w:r>
        <w:rPr>
          <w:rStyle w:val="FootnoteReference"/>
        </w:rPr>
        <w:footnoteRef/>
      </w:r>
      <w:r>
        <w:rPr>
          <w:lang w:val="bg-BG"/>
        </w:rPr>
        <w:t>При оценка на бюджетни линии не се извършва техническа и финансова оценка на финансовия план, а само оценка по отношение на административното съответствие и допустимост на разходите</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1" w:type="dxa"/>
      <w:jc w:val="center"/>
      <w:tblLayout w:type="fixed"/>
      <w:tblLook w:val="0000" w:firstRow="0" w:lastRow="0" w:firstColumn="0" w:lastColumn="0" w:noHBand="0" w:noVBand="0"/>
    </w:tblPr>
    <w:tblGrid>
      <w:gridCol w:w="2405"/>
      <w:gridCol w:w="2835"/>
      <w:gridCol w:w="2410"/>
      <w:gridCol w:w="2551"/>
    </w:tblGrid>
    <w:tr w:rsidR="00CD7E74" w:rsidRPr="00BB21EC" w:rsidTr="0039478F">
      <w:trPr>
        <w:jc w:val="center"/>
      </w:trPr>
      <w:tc>
        <w:tcPr>
          <w:tcW w:w="7650" w:type="dxa"/>
          <w:gridSpan w:val="3"/>
          <w:tcBorders>
            <w:top w:val="single" w:sz="4" w:space="0" w:color="999999"/>
            <w:left w:val="single" w:sz="4" w:space="0" w:color="999999"/>
            <w:right w:val="single" w:sz="4" w:space="0" w:color="999999"/>
          </w:tcBorders>
          <w:vAlign w:val="center"/>
        </w:tcPr>
        <w:p w:rsidR="00CD7E74" w:rsidRPr="00BB21EC" w:rsidRDefault="00CD7E74" w:rsidP="003263F8">
          <w:pPr>
            <w:pStyle w:val="Header"/>
            <w:jc w:val="center"/>
            <w:rPr>
              <w:b/>
            </w:rPr>
          </w:pPr>
          <w:r w:rsidRPr="00BB21EC">
            <w:rPr>
              <w:b/>
            </w:rPr>
            <w:t>ГЛАВА 3</w:t>
          </w:r>
          <w:r>
            <w:rPr>
              <w:b/>
              <w:lang w:val="en-US"/>
            </w:rPr>
            <w:t xml:space="preserve"> </w:t>
          </w:r>
          <w:r w:rsidRPr="00BB21EC">
            <w:rPr>
              <w:b/>
            </w:rPr>
            <w:t>ПРОГРАМИРАНЕ</w:t>
          </w:r>
        </w:p>
      </w:tc>
      <w:tc>
        <w:tcPr>
          <w:tcW w:w="2551" w:type="dxa"/>
          <w:tcBorders>
            <w:top w:val="single" w:sz="4" w:space="0" w:color="999999"/>
            <w:left w:val="single" w:sz="4" w:space="0" w:color="999999"/>
            <w:right w:val="single" w:sz="4" w:space="0" w:color="999999"/>
          </w:tcBorders>
          <w:shd w:val="clear" w:color="auto" w:fill="F3F3F3"/>
          <w:vAlign w:val="center"/>
        </w:tcPr>
        <w:p w:rsidR="00CD7E74" w:rsidRPr="00BB21EC" w:rsidRDefault="00CD7E74" w:rsidP="003263F8">
          <w:pPr>
            <w:pStyle w:val="Header"/>
            <w:ind w:firstLine="0"/>
            <w:jc w:val="center"/>
            <w:rPr>
              <w:b/>
              <w:lang w:val="en-US"/>
            </w:rPr>
          </w:pPr>
          <w:r w:rsidRPr="00BB21EC">
            <w:rPr>
              <w:b/>
              <w:lang w:val="pl-PL"/>
            </w:rPr>
            <w:t xml:space="preserve">стр. </w:t>
          </w:r>
          <w:r w:rsidRPr="00BB21EC">
            <w:rPr>
              <w:b/>
              <w:lang w:val="pl-PL"/>
            </w:rPr>
            <w:fldChar w:fldCharType="begin"/>
          </w:r>
          <w:r w:rsidRPr="00BB21EC">
            <w:rPr>
              <w:b/>
              <w:lang w:val="pl-PL"/>
            </w:rPr>
            <w:instrText xml:space="preserve"> PAGE   \* MERGEFORMAT </w:instrText>
          </w:r>
          <w:r w:rsidRPr="00BB21EC">
            <w:rPr>
              <w:b/>
              <w:lang w:val="pl-PL"/>
            </w:rPr>
            <w:fldChar w:fldCharType="separate"/>
          </w:r>
          <w:r w:rsidR="00830F22">
            <w:rPr>
              <w:b/>
              <w:noProof/>
              <w:lang w:val="pl-PL"/>
            </w:rPr>
            <w:t>2</w:t>
          </w:r>
          <w:r w:rsidRPr="00BB21EC">
            <w:fldChar w:fldCharType="end"/>
          </w:r>
          <w:r w:rsidRPr="00BB21EC">
            <w:rPr>
              <w:b/>
              <w:lang w:val="pl-PL"/>
            </w:rPr>
            <w:t>/</w:t>
          </w:r>
          <w:r w:rsidRPr="00BB21EC">
            <w:rPr>
              <w:b/>
              <w:lang w:val="pl-PL"/>
            </w:rPr>
            <w:fldChar w:fldCharType="begin"/>
          </w:r>
          <w:r w:rsidRPr="00BB21EC">
            <w:rPr>
              <w:b/>
              <w:lang w:val="pl-PL"/>
            </w:rPr>
            <w:instrText xml:space="preserve"> NUMPAGES   \* MERGEFORMAT </w:instrText>
          </w:r>
          <w:r w:rsidRPr="00BB21EC">
            <w:rPr>
              <w:b/>
              <w:lang w:val="pl-PL"/>
            </w:rPr>
            <w:fldChar w:fldCharType="separate"/>
          </w:r>
          <w:r w:rsidR="00830F22">
            <w:rPr>
              <w:b/>
              <w:noProof/>
              <w:lang w:val="pl-PL"/>
            </w:rPr>
            <w:t>74</w:t>
          </w:r>
          <w:r w:rsidRPr="00BB21EC">
            <w:fldChar w:fldCharType="end"/>
          </w:r>
        </w:p>
      </w:tc>
    </w:tr>
    <w:tr w:rsidR="00CD7E74" w:rsidRPr="00BB21EC" w:rsidTr="0039478F">
      <w:trPr>
        <w:trHeight w:val="555"/>
        <w:jc w:val="center"/>
      </w:trPr>
      <w:tc>
        <w:tcPr>
          <w:tcW w:w="2405" w:type="dxa"/>
          <w:tcBorders>
            <w:top w:val="single" w:sz="4" w:space="0" w:color="999999"/>
            <w:left w:val="single" w:sz="4" w:space="0" w:color="999999"/>
            <w:bottom w:val="single" w:sz="4" w:space="0" w:color="999999"/>
            <w:right w:val="single" w:sz="4" w:space="0" w:color="999999"/>
          </w:tcBorders>
          <w:shd w:val="clear" w:color="auto" w:fill="auto"/>
          <w:vAlign w:val="center"/>
        </w:tcPr>
        <w:p w:rsidR="00CD7E74" w:rsidRPr="00BB21EC" w:rsidRDefault="00CD7E74" w:rsidP="003263F8">
          <w:pPr>
            <w:pStyle w:val="Header"/>
            <w:ind w:firstLine="0"/>
            <w:jc w:val="center"/>
            <w:rPr>
              <w:lang w:val="pl-PL"/>
            </w:rPr>
          </w:pPr>
          <w:r w:rsidRPr="00BB21EC">
            <w:rPr>
              <w:b/>
              <w:lang w:val="pl-PL"/>
            </w:rPr>
            <w:t>МТС</w:t>
          </w:r>
        </w:p>
      </w:tc>
      <w:tc>
        <w:tcPr>
          <w:tcW w:w="2835" w:type="dxa"/>
          <w:vMerge w:val="restart"/>
          <w:tcBorders>
            <w:top w:val="single" w:sz="4" w:space="0" w:color="999999"/>
            <w:left w:val="single" w:sz="4" w:space="0" w:color="999999"/>
            <w:bottom w:val="single" w:sz="4" w:space="0" w:color="999999"/>
            <w:right w:val="single" w:sz="4" w:space="0" w:color="999999"/>
          </w:tcBorders>
          <w:vAlign w:val="center"/>
        </w:tcPr>
        <w:p w:rsidR="00CD7E74" w:rsidRPr="00BB21EC" w:rsidRDefault="00CD7E74" w:rsidP="003263F8">
          <w:pPr>
            <w:pStyle w:val="Header"/>
            <w:ind w:firstLine="0"/>
            <w:jc w:val="center"/>
            <w:rPr>
              <w:lang w:val="en-US"/>
            </w:rPr>
          </w:pPr>
          <w:r w:rsidRPr="00BB21EC">
            <w:rPr>
              <w:lang w:val="en-US"/>
            </w:rPr>
            <w:object w:dxaOrig="3150" w:dyaOrig="28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8.25pt;height:62.25pt" o:ole="">
                <v:imagedata r:id="rId1" o:title=""/>
              </v:shape>
              <o:OLEObject Type="Embed" ProgID="Acrobat.Document.DC" ShapeID="_x0000_i1026" DrawAspect="Content" ObjectID="_1763385749" r:id="rId2"/>
            </w:object>
          </w:r>
        </w:p>
      </w:tc>
      <w:tc>
        <w:tcPr>
          <w:tcW w:w="2410" w:type="dxa"/>
          <w:vMerge w:val="restart"/>
          <w:tcBorders>
            <w:top w:val="single" w:sz="4" w:space="0" w:color="999999"/>
            <w:left w:val="single" w:sz="4" w:space="0" w:color="999999"/>
            <w:bottom w:val="single" w:sz="4" w:space="0" w:color="999999"/>
            <w:right w:val="single" w:sz="4" w:space="0" w:color="999999"/>
          </w:tcBorders>
          <w:vAlign w:val="center"/>
        </w:tcPr>
        <w:p w:rsidR="00CD7E74" w:rsidRPr="00BB21EC" w:rsidRDefault="00CD7E74" w:rsidP="003263F8">
          <w:pPr>
            <w:pStyle w:val="Header"/>
            <w:ind w:firstLine="0"/>
            <w:rPr>
              <w:b/>
              <w:lang w:val="pl-PL"/>
            </w:rPr>
          </w:pPr>
          <w:r>
            <w:rPr>
              <w:lang w:val="en-US"/>
            </w:rPr>
            <w:t xml:space="preserve">  </w:t>
          </w:r>
          <w:r w:rsidRPr="00BB21EC">
            <w:rPr>
              <w:lang w:val="en-US"/>
            </w:rPr>
            <w:object w:dxaOrig="3570" w:dyaOrig="2550">
              <v:shape id="_x0000_i1027" type="#_x0000_t75" style="width:83.25pt;height:59.25pt">
                <v:imagedata r:id="rId3" o:title=""/>
              </v:shape>
              <o:OLEObject Type="Embed" ProgID="Acrobat.Document.DC" ShapeID="_x0000_i1027" DrawAspect="Content" ObjectID="_1763385750" r:id="rId4"/>
            </w:object>
          </w:r>
        </w:p>
      </w:tc>
      <w:tc>
        <w:tcPr>
          <w:tcW w:w="2551" w:type="dxa"/>
          <w:tcBorders>
            <w:top w:val="single" w:sz="4" w:space="0" w:color="999999"/>
            <w:left w:val="single" w:sz="4" w:space="0" w:color="999999"/>
            <w:bottom w:val="single" w:sz="4" w:space="0" w:color="999999"/>
            <w:right w:val="single" w:sz="4" w:space="0" w:color="999999"/>
          </w:tcBorders>
          <w:vAlign w:val="center"/>
        </w:tcPr>
        <w:p w:rsidR="00CD7E74" w:rsidRPr="00BB21EC" w:rsidRDefault="00CD7E74" w:rsidP="003263F8">
          <w:pPr>
            <w:pStyle w:val="Header"/>
            <w:ind w:firstLine="0"/>
            <w:jc w:val="center"/>
            <w:rPr>
              <w:b/>
              <w:lang w:val="en-US"/>
            </w:rPr>
          </w:pPr>
          <w:r w:rsidRPr="00BB21EC">
            <w:rPr>
              <w:b/>
              <w:lang w:val="en-US"/>
            </w:rPr>
            <w:t>X</w:t>
          </w:r>
          <w:r>
            <w:rPr>
              <w:b/>
              <w:lang w:val="en-US"/>
            </w:rPr>
            <w:t>I</w:t>
          </w:r>
          <w:r w:rsidRPr="00BB21EC">
            <w:rPr>
              <w:b/>
              <w:lang w:val="en-US"/>
            </w:rPr>
            <w:t xml:space="preserve"> </w:t>
          </w:r>
          <w:r w:rsidRPr="00BB21EC">
            <w:rPr>
              <w:b/>
              <w:lang w:val="pl-PL"/>
            </w:rPr>
            <w:t>2023</w:t>
          </w:r>
        </w:p>
      </w:tc>
    </w:tr>
    <w:tr w:rsidR="00CD7E74" w:rsidRPr="00BB21EC" w:rsidTr="00EF15E3">
      <w:trPr>
        <w:trHeight w:val="690"/>
        <w:jc w:val="center"/>
      </w:trPr>
      <w:tc>
        <w:tcPr>
          <w:tcW w:w="2405" w:type="dxa"/>
          <w:tcBorders>
            <w:top w:val="single" w:sz="4" w:space="0" w:color="999999"/>
            <w:left w:val="single" w:sz="4" w:space="0" w:color="999999"/>
            <w:bottom w:val="single" w:sz="4" w:space="0" w:color="999999"/>
            <w:right w:val="single" w:sz="4" w:space="0" w:color="999999"/>
          </w:tcBorders>
          <w:shd w:val="clear" w:color="auto" w:fill="auto"/>
          <w:vAlign w:val="center"/>
        </w:tcPr>
        <w:p w:rsidR="00CD7E74" w:rsidRDefault="00CD7E74" w:rsidP="003263F8">
          <w:pPr>
            <w:pStyle w:val="Header"/>
            <w:ind w:firstLine="0"/>
            <w:jc w:val="center"/>
            <w:rPr>
              <w:b/>
              <w:lang w:val="pl-PL"/>
            </w:rPr>
          </w:pPr>
          <w:r w:rsidRPr="00BB21EC">
            <w:rPr>
              <w:b/>
              <w:lang w:val="pl-PL"/>
            </w:rPr>
            <w:t>ПНУИ</w:t>
          </w:r>
          <w:r>
            <w:rPr>
              <w:b/>
              <w:lang w:val="pl-PL"/>
            </w:rPr>
            <w:t xml:space="preserve"> </w:t>
          </w:r>
          <w:r w:rsidRPr="00BB21EC">
            <w:rPr>
              <w:b/>
              <w:lang w:val="pl-PL"/>
            </w:rPr>
            <w:t>на</w:t>
          </w:r>
          <w:r>
            <w:rPr>
              <w:b/>
            </w:rPr>
            <w:t xml:space="preserve"> </w:t>
          </w:r>
          <w:r w:rsidRPr="00BB21EC">
            <w:rPr>
              <w:b/>
              <w:lang w:val="pl-PL"/>
            </w:rPr>
            <w:t>ПТС</w:t>
          </w:r>
        </w:p>
        <w:p w:rsidR="00CD7E74" w:rsidRPr="00BB21EC" w:rsidRDefault="00CD7E74" w:rsidP="003263F8">
          <w:pPr>
            <w:pStyle w:val="Header"/>
            <w:ind w:firstLine="0"/>
            <w:jc w:val="center"/>
            <w:rPr>
              <w:lang w:val="pl-PL"/>
            </w:rPr>
          </w:pPr>
          <w:r w:rsidRPr="00BB21EC">
            <w:rPr>
              <w:b/>
              <w:lang w:val="pl-PL"/>
            </w:rPr>
            <w:t>2021-2027</w:t>
          </w:r>
        </w:p>
      </w:tc>
      <w:tc>
        <w:tcPr>
          <w:tcW w:w="2835" w:type="dxa"/>
          <w:vMerge/>
          <w:tcBorders>
            <w:top w:val="single" w:sz="4" w:space="0" w:color="999999"/>
            <w:left w:val="single" w:sz="4" w:space="0" w:color="999999"/>
            <w:bottom w:val="single" w:sz="4" w:space="0" w:color="999999"/>
            <w:right w:val="single" w:sz="4" w:space="0" w:color="999999"/>
          </w:tcBorders>
          <w:vAlign w:val="center"/>
        </w:tcPr>
        <w:p w:rsidR="00CD7E74" w:rsidRPr="00BB21EC" w:rsidRDefault="00CD7E74" w:rsidP="003263F8">
          <w:pPr>
            <w:pStyle w:val="Header"/>
            <w:rPr>
              <w:lang w:val="pl-PL"/>
            </w:rPr>
          </w:pPr>
        </w:p>
      </w:tc>
      <w:tc>
        <w:tcPr>
          <w:tcW w:w="2410" w:type="dxa"/>
          <w:vMerge/>
          <w:tcBorders>
            <w:top w:val="single" w:sz="4" w:space="0" w:color="999999"/>
            <w:left w:val="single" w:sz="4" w:space="0" w:color="999999"/>
            <w:bottom w:val="single" w:sz="4" w:space="0" w:color="999999"/>
            <w:right w:val="single" w:sz="4" w:space="0" w:color="999999"/>
          </w:tcBorders>
          <w:vAlign w:val="center"/>
        </w:tcPr>
        <w:p w:rsidR="00CD7E74" w:rsidRPr="00BB21EC" w:rsidRDefault="00CD7E74" w:rsidP="003263F8">
          <w:pPr>
            <w:pStyle w:val="Header"/>
            <w:rPr>
              <w:lang w:val="pl-PL"/>
            </w:rPr>
          </w:pPr>
        </w:p>
      </w:tc>
      <w:tc>
        <w:tcPr>
          <w:tcW w:w="2551" w:type="dxa"/>
          <w:tcBorders>
            <w:top w:val="single" w:sz="4" w:space="0" w:color="999999"/>
            <w:left w:val="single" w:sz="4" w:space="0" w:color="999999"/>
            <w:bottom w:val="single" w:sz="4" w:space="0" w:color="999999"/>
            <w:right w:val="single" w:sz="4" w:space="0" w:color="999999"/>
          </w:tcBorders>
          <w:vAlign w:val="center"/>
        </w:tcPr>
        <w:p w:rsidR="00CD7E74" w:rsidRPr="00BB21EC" w:rsidRDefault="00CD7E74" w:rsidP="003263F8">
          <w:pPr>
            <w:pStyle w:val="Header"/>
            <w:ind w:firstLine="0"/>
            <w:jc w:val="center"/>
            <w:rPr>
              <w:b/>
              <w:lang w:val="en-US"/>
            </w:rPr>
          </w:pPr>
          <w:r w:rsidRPr="00BB21EC">
            <w:rPr>
              <w:b/>
              <w:lang w:val="pl-PL"/>
            </w:rPr>
            <w:t>Версия 1</w:t>
          </w:r>
          <w:r w:rsidRPr="00BB21EC">
            <w:rPr>
              <w:b/>
              <w:lang w:val="en-US"/>
            </w:rPr>
            <w:t>.0</w:t>
          </w:r>
        </w:p>
      </w:tc>
    </w:tr>
  </w:tbl>
  <w:p w:rsidR="00CD7E74" w:rsidRPr="003263F8" w:rsidRDefault="00CD7E74" w:rsidP="003263F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7E74" w:rsidRPr="002E4F6D" w:rsidRDefault="00CD7E74" w:rsidP="007E360C">
    <w:pPr>
      <w:pStyle w:val="Header"/>
      <w:tabs>
        <w:tab w:val="clear" w:pos="4536"/>
        <w:tab w:val="clear" w:pos="9072"/>
        <w:tab w:val="left" w:pos="3420"/>
      </w:tabs>
    </w:pPr>
    <w:r>
      <w:tab/>
    </w:r>
  </w:p>
  <w:tbl>
    <w:tblPr>
      <w:tblW w:w="10201" w:type="dxa"/>
      <w:jc w:val="center"/>
      <w:tblLayout w:type="fixed"/>
      <w:tblLook w:val="0000" w:firstRow="0" w:lastRow="0" w:firstColumn="0" w:lastColumn="0" w:noHBand="0" w:noVBand="0"/>
    </w:tblPr>
    <w:tblGrid>
      <w:gridCol w:w="2405"/>
      <w:gridCol w:w="2835"/>
      <w:gridCol w:w="2410"/>
      <w:gridCol w:w="2551"/>
    </w:tblGrid>
    <w:tr w:rsidR="00CD7E74" w:rsidRPr="00BB21EC" w:rsidTr="007E360C">
      <w:trPr>
        <w:jc w:val="center"/>
      </w:trPr>
      <w:tc>
        <w:tcPr>
          <w:tcW w:w="7650" w:type="dxa"/>
          <w:gridSpan w:val="3"/>
          <w:tcBorders>
            <w:top w:val="single" w:sz="4" w:space="0" w:color="999999"/>
            <w:left w:val="single" w:sz="4" w:space="0" w:color="999999"/>
            <w:right w:val="single" w:sz="4" w:space="0" w:color="999999"/>
          </w:tcBorders>
          <w:vAlign w:val="center"/>
        </w:tcPr>
        <w:p w:rsidR="00CD7E74" w:rsidRPr="00BB21EC" w:rsidRDefault="00CD7E74" w:rsidP="007E360C">
          <w:pPr>
            <w:pStyle w:val="Header"/>
            <w:jc w:val="center"/>
            <w:rPr>
              <w:b/>
            </w:rPr>
          </w:pPr>
          <w:r w:rsidRPr="00BB21EC">
            <w:rPr>
              <w:b/>
            </w:rPr>
            <w:t>ГЛАВА 3</w:t>
          </w:r>
          <w:r>
            <w:rPr>
              <w:b/>
              <w:lang w:val="en-US"/>
            </w:rPr>
            <w:t xml:space="preserve"> </w:t>
          </w:r>
          <w:r w:rsidRPr="00BB21EC">
            <w:rPr>
              <w:b/>
            </w:rPr>
            <w:t>ПРОГРАМИРАНЕ</w:t>
          </w:r>
        </w:p>
      </w:tc>
      <w:tc>
        <w:tcPr>
          <w:tcW w:w="2551" w:type="dxa"/>
          <w:tcBorders>
            <w:top w:val="single" w:sz="4" w:space="0" w:color="999999"/>
            <w:left w:val="single" w:sz="4" w:space="0" w:color="999999"/>
            <w:right w:val="single" w:sz="4" w:space="0" w:color="999999"/>
          </w:tcBorders>
          <w:shd w:val="clear" w:color="auto" w:fill="F3F3F3"/>
          <w:vAlign w:val="center"/>
        </w:tcPr>
        <w:p w:rsidR="00CD7E74" w:rsidRPr="00BB21EC" w:rsidRDefault="00CD7E74" w:rsidP="007E360C">
          <w:pPr>
            <w:pStyle w:val="Header"/>
            <w:ind w:firstLine="0"/>
            <w:jc w:val="center"/>
            <w:rPr>
              <w:b/>
              <w:lang w:val="en-US"/>
            </w:rPr>
          </w:pPr>
          <w:r w:rsidRPr="00BB21EC">
            <w:rPr>
              <w:b/>
              <w:lang w:val="pl-PL"/>
            </w:rPr>
            <w:t xml:space="preserve">стр. </w:t>
          </w:r>
          <w:r w:rsidRPr="00BB21EC">
            <w:rPr>
              <w:b/>
              <w:lang w:val="pl-PL"/>
            </w:rPr>
            <w:fldChar w:fldCharType="begin"/>
          </w:r>
          <w:r w:rsidRPr="00BB21EC">
            <w:rPr>
              <w:b/>
              <w:lang w:val="pl-PL"/>
            </w:rPr>
            <w:instrText xml:space="preserve"> PAGE   \* MERGEFORMAT </w:instrText>
          </w:r>
          <w:r w:rsidRPr="00BB21EC">
            <w:rPr>
              <w:b/>
              <w:lang w:val="pl-PL"/>
            </w:rPr>
            <w:fldChar w:fldCharType="separate"/>
          </w:r>
          <w:r w:rsidR="00830F22">
            <w:rPr>
              <w:b/>
              <w:noProof/>
              <w:lang w:val="pl-PL"/>
            </w:rPr>
            <w:t>1</w:t>
          </w:r>
          <w:r w:rsidRPr="00BB21EC">
            <w:fldChar w:fldCharType="end"/>
          </w:r>
          <w:r w:rsidRPr="00BB21EC">
            <w:rPr>
              <w:b/>
              <w:lang w:val="pl-PL"/>
            </w:rPr>
            <w:t>/</w:t>
          </w:r>
          <w:r w:rsidRPr="00BB21EC">
            <w:rPr>
              <w:b/>
              <w:lang w:val="pl-PL"/>
            </w:rPr>
            <w:fldChar w:fldCharType="begin"/>
          </w:r>
          <w:r w:rsidRPr="00BB21EC">
            <w:rPr>
              <w:b/>
              <w:lang w:val="pl-PL"/>
            </w:rPr>
            <w:instrText xml:space="preserve"> NUMPAGES   \* MERGEFORMAT </w:instrText>
          </w:r>
          <w:r w:rsidRPr="00BB21EC">
            <w:rPr>
              <w:b/>
              <w:lang w:val="pl-PL"/>
            </w:rPr>
            <w:fldChar w:fldCharType="separate"/>
          </w:r>
          <w:r w:rsidR="00830F22">
            <w:rPr>
              <w:b/>
              <w:noProof/>
              <w:lang w:val="pl-PL"/>
            </w:rPr>
            <w:t>74</w:t>
          </w:r>
          <w:r w:rsidRPr="00BB21EC">
            <w:fldChar w:fldCharType="end"/>
          </w:r>
        </w:p>
      </w:tc>
    </w:tr>
    <w:tr w:rsidR="00CD7E74" w:rsidRPr="00BB21EC" w:rsidTr="007E360C">
      <w:trPr>
        <w:trHeight w:val="555"/>
        <w:jc w:val="center"/>
      </w:trPr>
      <w:tc>
        <w:tcPr>
          <w:tcW w:w="2405" w:type="dxa"/>
          <w:tcBorders>
            <w:top w:val="single" w:sz="4" w:space="0" w:color="999999"/>
            <w:left w:val="single" w:sz="4" w:space="0" w:color="999999"/>
            <w:bottom w:val="single" w:sz="4" w:space="0" w:color="999999"/>
            <w:right w:val="single" w:sz="4" w:space="0" w:color="999999"/>
          </w:tcBorders>
          <w:shd w:val="clear" w:color="auto" w:fill="auto"/>
          <w:vAlign w:val="center"/>
        </w:tcPr>
        <w:p w:rsidR="00CD7E74" w:rsidRPr="00BB21EC" w:rsidRDefault="00CD7E74" w:rsidP="007E360C">
          <w:pPr>
            <w:pStyle w:val="Header"/>
            <w:ind w:firstLine="0"/>
            <w:jc w:val="center"/>
            <w:rPr>
              <w:lang w:val="pl-PL"/>
            </w:rPr>
          </w:pPr>
          <w:r w:rsidRPr="00BB21EC">
            <w:rPr>
              <w:b/>
              <w:lang w:val="pl-PL"/>
            </w:rPr>
            <w:t>МТС</w:t>
          </w:r>
        </w:p>
      </w:tc>
      <w:tc>
        <w:tcPr>
          <w:tcW w:w="2835" w:type="dxa"/>
          <w:vMerge w:val="restart"/>
          <w:tcBorders>
            <w:top w:val="single" w:sz="4" w:space="0" w:color="999999"/>
            <w:left w:val="single" w:sz="4" w:space="0" w:color="999999"/>
            <w:bottom w:val="single" w:sz="4" w:space="0" w:color="999999"/>
            <w:right w:val="single" w:sz="4" w:space="0" w:color="999999"/>
          </w:tcBorders>
          <w:vAlign w:val="center"/>
        </w:tcPr>
        <w:p w:rsidR="00CD7E74" w:rsidRPr="00BB21EC" w:rsidRDefault="00CD7E74" w:rsidP="007E360C">
          <w:pPr>
            <w:pStyle w:val="Header"/>
            <w:ind w:firstLine="0"/>
            <w:jc w:val="center"/>
            <w:rPr>
              <w:lang w:val="en-US"/>
            </w:rPr>
          </w:pPr>
          <w:r w:rsidRPr="00BB21EC">
            <w:rPr>
              <w:lang w:val="en-US"/>
            </w:rPr>
            <w:object w:dxaOrig="3150" w:dyaOrig="28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78.75pt;height:1in">
                <v:imagedata r:id="rId1" o:title=""/>
              </v:shape>
              <o:OLEObject Type="Embed" ProgID="Acrobat.Document.DC" ShapeID="_x0000_i1028" DrawAspect="Content" ObjectID="_1763385751" r:id="rId2"/>
            </w:object>
          </w:r>
        </w:p>
      </w:tc>
      <w:tc>
        <w:tcPr>
          <w:tcW w:w="2410" w:type="dxa"/>
          <w:vMerge w:val="restart"/>
          <w:tcBorders>
            <w:top w:val="single" w:sz="4" w:space="0" w:color="999999"/>
            <w:left w:val="single" w:sz="4" w:space="0" w:color="999999"/>
            <w:bottom w:val="single" w:sz="4" w:space="0" w:color="999999"/>
            <w:right w:val="single" w:sz="4" w:space="0" w:color="999999"/>
          </w:tcBorders>
          <w:vAlign w:val="center"/>
        </w:tcPr>
        <w:p w:rsidR="00CD7E74" w:rsidRPr="00BB21EC" w:rsidRDefault="00CD7E74" w:rsidP="007E360C">
          <w:pPr>
            <w:pStyle w:val="Header"/>
            <w:ind w:firstLine="0"/>
            <w:rPr>
              <w:b/>
              <w:lang w:val="pl-PL"/>
            </w:rPr>
          </w:pPr>
          <w:r>
            <w:rPr>
              <w:lang w:val="en-US"/>
            </w:rPr>
            <w:t xml:space="preserve">  </w:t>
          </w:r>
          <w:r w:rsidRPr="00BB21EC">
            <w:rPr>
              <w:lang w:val="en-US"/>
            </w:rPr>
            <w:object w:dxaOrig="3570" w:dyaOrig="2550">
              <v:shape id="_x0000_i1029" type="#_x0000_t75" style="width:97.5pt;height:69pt">
                <v:imagedata r:id="rId3" o:title=""/>
              </v:shape>
              <o:OLEObject Type="Embed" ProgID="Acrobat.Document.DC" ShapeID="_x0000_i1029" DrawAspect="Content" ObjectID="_1763385752" r:id="rId4"/>
            </w:object>
          </w:r>
        </w:p>
      </w:tc>
      <w:tc>
        <w:tcPr>
          <w:tcW w:w="2551" w:type="dxa"/>
          <w:tcBorders>
            <w:top w:val="single" w:sz="4" w:space="0" w:color="999999"/>
            <w:left w:val="single" w:sz="4" w:space="0" w:color="999999"/>
            <w:bottom w:val="single" w:sz="4" w:space="0" w:color="999999"/>
            <w:right w:val="single" w:sz="4" w:space="0" w:color="999999"/>
          </w:tcBorders>
          <w:vAlign w:val="center"/>
        </w:tcPr>
        <w:p w:rsidR="00CD7E74" w:rsidRPr="00BB21EC" w:rsidRDefault="00CD7E74" w:rsidP="007E360C">
          <w:pPr>
            <w:pStyle w:val="Header"/>
            <w:ind w:firstLine="0"/>
            <w:jc w:val="center"/>
            <w:rPr>
              <w:b/>
              <w:lang w:val="en-US"/>
            </w:rPr>
          </w:pPr>
          <w:r w:rsidRPr="00BB21EC">
            <w:rPr>
              <w:b/>
              <w:lang w:val="en-US"/>
            </w:rPr>
            <w:t>X</w:t>
          </w:r>
          <w:r>
            <w:rPr>
              <w:b/>
              <w:lang w:val="en-US"/>
            </w:rPr>
            <w:t>I</w:t>
          </w:r>
          <w:r w:rsidR="00830F22">
            <w:rPr>
              <w:b/>
            </w:rPr>
            <w:t>І</w:t>
          </w:r>
          <w:r w:rsidRPr="00BB21EC">
            <w:rPr>
              <w:b/>
              <w:lang w:val="en-US"/>
            </w:rPr>
            <w:t xml:space="preserve"> </w:t>
          </w:r>
          <w:r w:rsidRPr="00BB21EC">
            <w:rPr>
              <w:b/>
              <w:lang w:val="pl-PL"/>
            </w:rPr>
            <w:t>2023</w:t>
          </w:r>
        </w:p>
      </w:tc>
    </w:tr>
    <w:tr w:rsidR="00CD7E74" w:rsidRPr="00BB21EC" w:rsidTr="007E360C">
      <w:trPr>
        <w:jc w:val="center"/>
      </w:trPr>
      <w:tc>
        <w:tcPr>
          <w:tcW w:w="2405" w:type="dxa"/>
          <w:tcBorders>
            <w:top w:val="single" w:sz="4" w:space="0" w:color="999999"/>
            <w:left w:val="single" w:sz="4" w:space="0" w:color="999999"/>
            <w:bottom w:val="single" w:sz="4" w:space="0" w:color="999999"/>
            <w:right w:val="single" w:sz="4" w:space="0" w:color="999999"/>
          </w:tcBorders>
          <w:shd w:val="clear" w:color="auto" w:fill="auto"/>
          <w:vAlign w:val="center"/>
        </w:tcPr>
        <w:p w:rsidR="00CD7E74" w:rsidRPr="00BB21EC" w:rsidRDefault="00CD7E74" w:rsidP="007E360C">
          <w:pPr>
            <w:pStyle w:val="Header"/>
            <w:ind w:firstLine="0"/>
            <w:jc w:val="center"/>
            <w:rPr>
              <w:b/>
              <w:lang w:val="pl-PL"/>
            </w:rPr>
          </w:pPr>
          <w:r w:rsidRPr="00BB21EC">
            <w:rPr>
              <w:b/>
              <w:lang w:val="pl-PL"/>
            </w:rPr>
            <w:t>ПНУИ</w:t>
          </w:r>
          <w:r>
            <w:rPr>
              <w:b/>
              <w:lang w:val="pl-PL"/>
            </w:rPr>
            <w:t xml:space="preserve"> </w:t>
          </w:r>
          <w:r w:rsidRPr="00BB21EC">
            <w:rPr>
              <w:b/>
              <w:lang w:val="pl-PL"/>
            </w:rPr>
            <w:t>на</w:t>
          </w:r>
        </w:p>
        <w:p w:rsidR="00CD7E74" w:rsidRDefault="00CD7E74" w:rsidP="007E360C">
          <w:pPr>
            <w:pStyle w:val="Header"/>
            <w:ind w:firstLine="0"/>
            <w:jc w:val="center"/>
            <w:rPr>
              <w:b/>
              <w:lang w:val="pl-PL"/>
            </w:rPr>
          </w:pPr>
          <w:r w:rsidRPr="00BB21EC">
            <w:rPr>
              <w:b/>
              <w:lang w:val="pl-PL"/>
            </w:rPr>
            <w:t>ПТС</w:t>
          </w:r>
        </w:p>
        <w:p w:rsidR="00CD7E74" w:rsidRPr="00BB21EC" w:rsidRDefault="00CD7E74" w:rsidP="007E360C">
          <w:pPr>
            <w:pStyle w:val="Header"/>
            <w:ind w:firstLine="0"/>
            <w:jc w:val="center"/>
            <w:rPr>
              <w:lang w:val="pl-PL"/>
            </w:rPr>
          </w:pPr>
          <w:r w:rsidRPr="00BB21EC">
            <w:rPr>
              <w:b/>
              <w:lang w:val="pl-PL"/>
            </w:rPr>
            <w:t>2021-2027</w:t>
          </w:r>
        </w:p>
      </w:tc>
      <w:tc>
        <w:tcPr>
          <w:tcW w:w="2835" w:type="dxa"/>
          <w:vMerge/>
          <w:tcBorders>
            <w:top w:val="single" w:sz="4" w:space="0" w:color="999999"/>
            <w:left w:val="single" w:sz="4" w:space="0" w:color="999999"/>
            <w:bottom w:val="single" w:sz="4" w:space="0" w:color="999999"/>
            <w:right w:val="single" w:sz="4" w:space="0" w:color="999999"/>
          </w:tcBorders>
          <w:vAlign w:val="center"/>
        </w:tcPr>
        <w:p w:rsidR="00CD7E74" w:rsidRPr="00BB21EC" w:rsidRDefault="00CD7E74" w:rsidP="007E360C">
          <w:pPr>
            <w:pStyle w:val="Header"/>
            <w:rPr>
              <w:lang w:val="pl-PL"/>
            </w:rPr>
          </w:pPr>
        </w:p>
      </w:tc>
      <w:tc>
        <w:tcPr>
          <w:tcW w:w="2410" w:type="dxa"/>
          <w:vMerge/>
          <w:tcBorders>
            <w:top w:val="single" w:sz="4" w:space="0" w:color="999999"/>
            <w:left w:val="single" w:sz="4" w:space="0" w:color="999999"/>
            <w:bottom w:val="single" w:sz="4" w:space="0" w:color="999999"/>
            <w:right w:val="single" w:sz="4" w:space="0" w:color="999999"/>
          </w:tcBorders>
          <w:vAlign w:val="center"/>
        </w:tcPr>
        <w:p w:rsidR="00CD7E74" w:rsidRPr="00BB21EC" w:rsidRDefault="00CD7E74" w:rsidP="007E360C">
          <w:pPr>
            <w:pStyle w:val="Header"/>
            <w:rPr>
              <w:lang w:val="pl-PL"/>
            </w:rPr>
          </w:pPr>
        </w:p>
      </w:tc>
      <w:tc>
        <w:tcPr>
          <w:tcW w:w="2551" w:type="dxa"/>
          <w:tcBorders>
            <w:top w:val="single" w:sz="4" w:space="0" w:color="999999"/>
            <w:left w:val="single" w:sz="4" w:space="0" w:color="999999"/>
            <w:bottom w:val="single" w:sz="4" w:space="0" w:color="999999"/>
            <w:right w:val="single" w:sz="4" w:space="0" w:color="999999"/>
          </w:tcBorders>
          <w:vAlign w:val="center"/>
        </w:tcPr>
        <w:p w:rsidR="00CD7E74" w:rsidRPr="00BB21EC" w:rsidRDefault="00CD7E74" w:rsidP="007E360C">
          <w:pPr>
            <w:pStyle w:val="Header"/>
            <w:ind w:firstLine="0"/>
            <w:jc w:val="center"/>
            <w:rPr>
              <w:b/>
              <w:lang w:val="en-US"/>
            </w:rPr>
          </w:pPr>
          <w:r w:rsidRPr="00BB21EC">
            <w:rPr>
              <w:b/>
              <w:lang w:val="pl-PL"/>
            </w:rPr>
            <w:t>Версия 1</w:t>
          </w:r>
          <w:r w:rsidRPr="00BB21EC">
            <w:rPr>
              <w:b/>
              <w:lang w:val="en-US"/>
            </w:rPr>
            <w:t>.0</w:t>
          </w:r>
        </w:p>
      </w:tc>
    </w:tr>
  </w:tbl>
  <w:p w:rsidR="00CD7E74" w:rsidRPr="002E4F6D" w:rsidRDefault="00CD7E74" w:rsidP="007E360C">
    <w:pPr>
      <w:pStyle w:val="Header"/>
      <w:tabs>
        <w:tab w:val="clear" w:pos="4536"/>
        <w:tab w:val="clear" w:pos="9072"/>
        <w:tab w:val="left" w:pos="3420"/>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FF6EC4AC"/>
    <w:lvl w:ilvl="0">
      <w:start w:val="1"/>
      <w:numFmt w:val="bullet"/>
      <w:pStyle w:val="ListBullet4"/>
      <w:lvlText w:val=""/>
      <w:lvlJc w:val="left"/>
      <w:pPr>
        <w:tabs>
          <w:tab w:val="num" w:pos="1209"/>
        </w:tabs>
        <w:ind w:left="1209" w:hanging="360"/>
      </w:pPr>
      <w:rPr>
        <w:rFonts w:ascii="Symbol" w:hAnsi="Symbol" w:hint="default"/>
      </w:rPr>
    </w:lvl>
  </w:abstractNum>
  <w:abstractNum w:abstractNumId="1" w15:restartNumberingAfterBreak="0">
    <w:nsid w:val="00000001"/>
    <w:multiLevelType w:val="hybridMultilevel"/>
    <w:tmpl w:val="00000001"/>
    <w:lvl w:ilvl="0" w:tplc="2E4EBF04">
      <w:start w:val="1"/>
      <w:numFmt w:val="bullet"/>
      <w:lvlText w:val=""/>
      <w:lvlJc w:val="left"/>
      <w:pPr>
        <w:ind w:left="720" w:hanging="360"/>
      </w:pPr>
      <w:rPr>
        <w:rFonts w:ascii="Symbol" w:hAnsi="Symbol"/>
      </w:rPr>
    </w:lvl>
    <w:lvl w:ilvl="1" w:tplc="878A1B06">
      <w:start w:val="1"/>
      <w:numFmt w:val="bullet"/>
      <w:lvlText w:val="o"/>
      <w:lvlJc w:val="left"/>
      <w:pPr>
        <w:tabs>
          <w:tab w:val="num" w:pos="1440"/>
        </w:tabs>
        <w:ind w:left="1440" w:hanging="360"/>
      </w:pPr>
      <w:rPr>
        <w:rFonts w:ascii="Courier New" w:hAnsi="Courier New"/>
      </w:rPr>
    </w:lvl>
    <w:lvl w:ilvl="2" w:tplc="11B22FFA">
      <w:start w:val="1"/>
      <w:numFmt w:val="bullet"/>
      <w:lvlText w:val=""/>
      <w:lvlJc w:val="left"/>
      <w:pPr>
        <w:tabs>
          <w:tab w:val="num" w:pos="2160"/>
        </w:tabs>
        <w:ind w:left="2160" w:hanging="360"/>
      </w:pPr>
      <w:rPr>
        <w:rFonts w:ascii="Wingdings" w:hAnsi="Wingdings"/>
      </w:rPr>
    </w:lvl>
    <w:lvl w:ilvl="3" w:tplc="199E40B8">
      <w:start w:val="1"/>
      <w:numFmt w:val="bullet"/>
      <w:lvlText w:val=""/>
      <w:lvlJc w:val="left"/>
      <w:pPr>
        <w:tabs>
          <w:tab w:val="num" w:pos="2880"/>
        </w:tabs>
        <w:ind w:left="2880" w:hanging="360"/>
      </w:pPr>
      <w:rPr>
        <w:rFonts w:ascii="Symbol" w:hAnsi="Symbol"/>
      </w:rPr>
    </w:lvl>
    <w:lvl w:ilvl="4" w:tplc="35E631DA">
      <w:start w:val="1"/>
      <w:numFmt w:val="bullet"/>
      <w:lvlText w:val="o"/>
      <w:lvlJc w:val="left"/>
      <w:pPr>
        <w:tabs>
          <w:tab w:val="num" w:pos="3600"/>
        </w:tabs>
        <w:ind w:left="3600" w:hanging="360"/>
      </w:pPr>
      <w:rPr>
        <w:rFonts w:ascii="Courier New" w:hAnsi="Courier New"/>
      </w:rPr>
    </w:lvl>
    <w:lvl w:ilvl="5" w:tplc="BF7ECC98">
      <w:start w:val="1"/>
      <w:numFmt w:val="bullet"/>
      <w:lvlText w:val=""/>
      <w:lvlJc w:val="left"/>
      <w:pPr>
        <w:tabs>
          <w:tab w:val="num" w:pos="4320"/>
        </w:tabs>
        <w:ind w:left="4320" w:hanging="360"/>
      </w:pPr>
      <w:rPr>
        <w:rFonts w:ascii="Wingdings" w:hAnsi="Wingdings"/>
      </w:rPr>
    </w:lvl>
    <w:lvl w:ilvl="6" w:tplc="6E620E96">
      <w:start w:val="1"/>
      <w:numFmt w:val="bullet"/>
      <w:lvlText w:val=""/>
      <w:lvlJc w:val="left"/>
      <w:pPr>
        <w:tabs>
          <w:tab w:val="num" w:pos="5040"/>
        </w:tabs>
        <w:ind w:left="5040" w:hanging="360"/>
      </w:pPr>
      <w:rPr>
        <w:rFonts w:ascii="Symbol" w:hAnsi="Symbol"/>
      </w:rPr>
    </w:lvl>
    <w:lvl w:ilvl="7" w:tplc="065C4BE4">
      <w:start w:val="1"/>
      <w:numFmt w:val="bullet"/>
      <w:lvlText w:val="o"/>
      <w:lvlJc w:val="left"/>
      <w:pPr>
        <w:tabs>
          <w:tab w:val="num" w:pos="5760"/>
        </w:tabs>
        <w:ind w:left="5760" w:hanging="360"/>
      </w:pPr>
      <w:rPr>
        <w:rFonts w:ascii="Courier New" w:hAnsi="Courier New"/>
      </w:rPr>
    </w:lvl>
    <w:lvl w:ilvl="8" w:tplc="F4C4906C">
      <w:start w:val="1"/>
      <w:numFmt w:val="bullet"/>
      <w:lvlText w:val=""/>
      <w:lvlJc w:val="left"/>
      <w:pPr>
        <w:tabs>
          <w:tab w:val="num" w:pos="6480"/>
        </w:tabs>
        <w:ind w:left="6480" w:hanging="360"/>
      </w:pPr>
      <w:rPr>
        <w:rFonts w:ascii="Wingdings" w:hAnsi="Wingdings"/>
      </w:rPr>
    </w:lvl>
  </w:abstractNum>
  <w:abstractNum w:abstractNumId="2" w15:restartNumberingAfterBreak="0">
    <w:nsid w:val="00000002"/>
    <w:multiLevelType w:val="hybridMultilevel"/>
    <w:tmpl w:val="00000002"/>
    <w:lvl w:ilvl="0" w:tplc="281ABE60">
      <w:start w:val="1"/>
      <w:numFmt w:val="bullet"/>
      <w:lvlText w:val=""/>
      <w:lvlJc w:val="left"/>
      <w:pPr>
        <w:ind w:left="720" w:hanging="360"/>
      </w:pPr>
      <w:rPr>
        <w:rFonts w:ascii="Symbol" w:hAnsi="Symbol"/>
      </w:rPr>
    </w:lvl>
    <w:lvl w:ilvl="1" w:tplc="17E86E48">
      <w:start w:val="1"/>
      <w:numFmt w:val="bullet"/>
      <w:lvlText w:val="o"/>
      <w:lvlJc w:val="left"/>
      <w:pPr>
        <w:tabs>
          <w:tab w:val="num" w:pos="1440"/>
        </w:tabs>
        <w:ind w:left="1440" w:hanging="360"/>
      </w:pPr>
      <w:rPr>
        <w:rFonts w:ascii="Courier New" w:hAnsi="Courier New"/>
      </w:rPr>
    </w:lvl>
    <w:lvl w:ilvl="2" w:tplc="1C540C84">
      <w:start w:val="1"/>
      <w:numFmt w:val="bullet"/>
      <w:lvlText w:val=""/>
      <w:lvlJc w:val="left"/>
      <w:pPr>
        <w:tabs>
          <w:tab w:val="num" w:pos="2160"/>
        </w:tabs>
        <w:ind w:left="2160" w:hanging="360"/>
      </w:pPr>
      <w:rPr>
        <w:rFonts w:ascii="Wingdings" w:hAnsi="Wingdings"/>
      </w:rPr>
    </w:lvl>
    <w:lvl w:ilvl="3" w:tplc="6E622BE8">
      <w:start w:val="1"/>
      <w:numFmt w:val="bullet"/>
      <w:lvlText w:val=""/>
      <w:lvlJc w:val="left"/>
      <w:pPr>
        <w:tabs>
          <w:tab w:val="num" w:pos="2880"/>
        </w:tabs>
        <w:ind w:left="2880" w:hanging="360"/>
      </w:pPr>
      <w:rPr>
        <w:rFonts w:ascii="Symbol" w:hAnsi="Symbol"/>
      </w:rPr>
    </w:lvl>
    <w:lvl w:ilvl="4" w:tplc="B796A784">
      <w:start w:val="1"/>
      <w:numFmt w:val="bullet"/>
      <w:lvlText w:val="o"/>
      <w:lvlJc w:val="left"/>
      <w:pPr>
        <w:tabs>
          <w:tab w:val="num" w:pos="3600"/>
        </w:tabs>
        <w:ind w:left="3600" w:hanging="360"/>
      </w:pPr>
      <w:rPr>
        <w:rFonts w:ascii="Courier New" w:hAnsi="Courier New"/>
      </w:rPr>
    </w:lvl>
    <w:lvl w:ilvl="5" w:tplc="1C4C01C2">
      <w:start w:val="1"/>
      <w:numFmt w:val="bullet"/>
      <w:lvlText w:val=""/>
      <w:lvlJc w:val="left"/>
      <w:pPr>
        <w:tabs>
          <w:tab w:val="num" w:pos="4320"/>
        </w:tabs>
        <w:ind w:left="4320" w:hanging="360"/>
      </w:pPr>
      <w:rPr>
        <w:rFonts w:ascii="Wingdings" w:hAnsi="Wingdings"/>
      </w:rPr>
    </w:lvl>
    <w:lvl w:ilvl="6" w:tplc="B73AD29E">
      <w:start w:val="1"/>
      <w:numFmt w:val="bullet"/>
      <w:lvlText w:val=""/>
      <w:lvlJc w:val="left"/>
      <w:pPr>
        <w:tabs>
          <w:tab w:val="num" w:pos="5040"/>
        </w:tabs>
        <w:ind w:left="5040" w:hanging="360"/>
      </w:pPr>
      <w:rPr>
        <w:rFonts w:ascii="Symbol" w:hAnsi="Symbol"/>
      </w:rPr>
    </w:lvl>
    <w:lvl w:ilvl="7" w:tplc="75385854">
      <w:start w:val="1"/>
      <w:numFmt w:val="bullet"/>
      <w:lvlText w:val="o"/>
      <w:lvlJc w:val="left"/>
      <w:pPr>
        <w:tabs>
          <w:tab w:val="num" w:pos="5760"/>
        </w:tabs>
        <w:ind w:left="5760" w:hanging="360"/>
      </w:pPr>
      <w:rPr>
        <w:rFonts w:ascii="Courier New" w:hAnsi="Courier New"/>
      </w:rPr>
    </w:lvl>
    <w:lvl w:ilvl="8" w:tplc="197CEB70">
      <w:start w:val="1"/>
      <w:numFmt w:val="bullet"/>
      <w:lvlText w:val=""/>
      <w:lvlJc w:val="left"/>
      <w:pPr>
        <w:tabs>
          <w:tab w:val="num" w:pos="6480"/>
        </w:tabs>
        <w:ind w:left="6480" w:hanging="360"/>
      </w:pPr>
      <w:rPr>
        <w:rFonts w:ascii="Wingdings" w:hAnsi="Wingdings"/>
      </w:rPr>
    </w:lvl>
  </w:abstractNum>
  <w:abstractNum w:abstractNumId="3" w15:restartNumberingAfterBreak="0">
    <w:nsid w:val="00000003"/>
    <w:multiLevelType w:val="hybridMultilevel"/>
    <w:tmpl w:val="00000003"/>
    <w:lvl w:ilvl="0" w:tplc="005C225C">
      <w:start w:val="1"/>
      <w:numFmt w:val="bullet"/>
      <w:lvlText w:val=""/>
      <w:lvlJc w:val="left"/>
      <w:pPr>
        <w:ind w:left="720" w:hanging="360"/>
      </w:pPr>
      <w:rPr>
        <w:rFonts w:ascii="Symbol" w:hAnsi="Symbol"/>
      </w:rPr>
    </w:lvl>
    <w:lvl w:ilvl="1" w:tplc="914A6504">
      <w:start w:val="1"/>
      <w:numFmt w:val="bullet"/>
      <w:lvlText w:val="o"/>
      <w:lvlJc w:val="left"/>
      <w:pPr>
        <w:tabs>
          <w:tab w:val="num" w:pos="1440"/>
        </w:tabs>
        <w:ind w:left="1440" w:hanging="360"/>
      </w:pPr>
      <w:rPr>
        <w:rFonts w:ascii="Courier New" w:hAnsi="Courier New"/>
      </w:rPr>
    </w:lvl>
    <w:lvl w:ilvl="2" w:tplc="CBDC3EAC">
      <w:start w:val="1"/>
      <w:numFmt w:val="bullet"/>
      <w:lvlText w:val=""/>
      <w:lvlJc w:val="left"/>
      <w:pPr>
        <w:tabs>
          <w:tab w:val="num" w:pos="2160"/>
        </w:tabs>
        <w:ind w:left="2160" w:hanging="360"/>
      </w:pPr>
      <w:rPr>
        <w:rFonts w:ascii="Wingdings" w:hAnsi="Wingdings"/>
      </w:rPr>
    </w:lvl>
    <w:lvl w:ilvl="3" w:tplc="A1D4AA96">
      <w:start w:val="1"/>
      <w:numFmt w:val="bullet"/>
      <w:lvlText w:val=""/>
      <w:lvlJc w:val="left"/>
      <w:pPr>
        <w:tabs>
          <w:tab w:val="num" w:pos="2880"/>
        </w:tabs>
        <w:ind w:left="2880" w:hanging="360"/>
      </w:pPr>
      <w:rPr>
        <w:rFonts w:ascii="Symbol" w:hAnsi="Symbol"/>
      </w:rPr>
    </w:lvl>
    <w:lvl w:ilvl="4" w:tplc="E3885C90">
      <w:start w:val="1"/>
      <w:numFmt w:val="bullet"/>
      <w:lvlText w:val="o"/>
      <w:lvlJc w:val="left"/>
      <w:pPr>
        <w:tabs>
          <w:tab w:val="num" w:pos="3600"/>
        </w:tabs>
        <w:ind w:left="3600" w:hanging="360"/>
      </w:pPr>
      <w:rPr>
        <w:rFonts w:ascii="Courier New" w:hAnsi="Courier New"/>
      </w:rPr>
    </w:lvl>
    <w:lvl w:ilvl="5" w:tplc="790C5CBE">
      <w:start w:val="1"/>
      <w:numFmt w:val="bullet"/>
      <w:lvlText w:val=""/>
      <w:lvlJc w:val="left"/>
      <w:pPr>
        <w:tabs>
          <w:tab w:val="num" w:pos="4320"/>
        </w:tabs>
        <w:ind w:left="4320" w:hanging="360"/>
      </w:pPr>
      <w:rPr>
        <w:rFonts w:ascii="Wingdings" w:hAnsi="Wingdings"/>
      </w:rPr>
    </w:lvl>
    <w:lvl w:ilvl="6" w:tplc="5A1075B4">
      <w:start w:val="1"/>
      <w:numFmt w:val="bullet"/>
      <w:lvlText w:val=""/>
      <w:lvlJc w:val="left"/>
      <w:pPr>
        <w:tabs>
          <w:tab w:val="num" w:pos="5040"/>
        </w:tabs>
        <w:ind w:left="5040" w:hanging="360"/>
      </w:pPr>
      <w:rPr>
        <w:rFonts w:ascii="Symbol" w:hAnsi="Symbol"/>
      </w:rPr>
    </w:lvl>
    <w:lvl w:ilvl="7" w:tplc="1804BA8E">
      <w:start w:val="1"/>
      <w:numFmt w:val="bullet"/>
      <w:lvlText w:val="o"/>
      <w:lvlJc w:val="left"/>
      <w:pPr>
        <w:tabs>
          <w:tab w:val="num" w:pos="5760"/>
        </w:tabs>
        <w:ind w:left="5760" w:hanging="360"/>
      </w:pPr>
      <w:rPr>
        <w:rFonts w:ascii="Courier New" w:hAnsi="Courier New"/>
      </w:rPr>
    </w:lvl>
    <w:lvl w:ilvl="8" w:tplc="738AE07C">
      <w:start w:val="1"/>
      <w:numFmt w:val="bullet"/>
      <w:lvlText w:val=""/>
      <w:lvlJc w:val="left"/>
      <w:pPr>
        <w:tabs>
          <w:tab w:val="num" w:pos="6480"/>
        </w:tabs>
        <w:ind w:left="6480" w:hanging="360"/>
      </w:pPr>
      <w:rPr>
        <w:rFonts w:ascii="Wingdings" w:hAnsi="Wingdings"/>
      </w:rPr>
    </w:lvl>
  </w:abstractNum>
  <w:abstractNum w:abstractNumId="4" w15:restartNumberingAfterBreak="0">
    <w:nsid w:val="00334A13"/>
    <w:multiLevelType w:val="hybridMultilevel"/>
    <w:tmpl w:val="877AD58C"/>
    <w:name w:val="WW8Num188"/>
    <w:lvl w:ilvl="0" w:tplc="FFFFFFFF">
      <w:start w:val="1"/>
      <w:numFmt w:val="bullet"/>
      <w:lvlText w:val="o"/>
      <w:lvlJc w:val="left"/>
      <w:pPr>
        <w:tabs>
          <w:tab w:val="num" w:pos="360"/>
        </w:tabs>
        <w:ind w:left="360" w:hanging="360"/>
      </w:pPr>
      <w:rPr>
        <w:rFonts w:ascii="Courier New" w:hAnsi="Courier New" w:hint="default"/>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00666FE0"/>
    <w:multiLevelType w:val="hybridMultilevel"/>
    <w:tmpl w:val="25DE3496"/>
    <w:lvl w:ilvl="0" w:tplc="26F25864">
      <w:start w:val="1"/>
      <mc:AlternateContent>
        <mc:Choice Requires="w14">
          <w:numFmt w:val="custom" w:format="а, й, к, ..."/>
        </mc:Choice>
        <mc:Fallback>
          <w:numFmt w:val="decimal"/>
        </mc:Fallback>
      </mc:AlternateContent>
      <w:lvlText w:val="%1)"/>
      <w:lvlJc w:val="left"/>
      <w:pPr>
        <w:ind w:left="720" w:hanging="360"/>
      </w:pPr>
      <w:rPr>
        <w:rFonts w:cs="Times New Roman" w:hint="default"/>
      </w:rPr>
    </w:lvl>
    <w:lvl w:ilvl="1" w:tplc="C22A524E">
      <w:start w:val="1"/>
      <mc:AlternateContent>
        <mc:Choice Requires="w14">
          <w:numFmt w:val="custom" w:format="а, й, к, ..."/>
        </mc:Choice>
        <mc:Fallback>
          <w:numFmt w:val="decimal"/>
        </mc:Fallback>
      </mc:AlternateContent>
      <w:lvlText w:val="%2)"/>
      <w:lvlJc w:val="left"/>
      <w:pPr>
        <w:ind w:left="1440" w:hanging="360"/>
      </w:pPr>
      <w:rPr>
        <w:rFonts w:cs="Times New Roman" w:hint="default"/>
        <w:b/>
      </w:r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 w15:restartNumberingAfterBreak="0">
    <w:nsid w:val="00C64983"/>
    <w:multiLevelType w:val="hybridMultilevel"/>
    <w:tmpl w:val="CA408B20"/>
    <w:lvl w:ilvl="0" w:tplc="47E0B608">
      <w:numFmt w:val="bullet"/>
      <w:lvlText w:val="-"/>
      <w:lvlJc w:val="left"/>
      <w:pPr>
        <w:tabs>
          <w:tab w:val="num" w:pos="851"/>
        </w:tabs>
        <w:ind w:left="851" w:hanging="851"/>
      </w:pPr>
      <w:rPr>
        <w:rFonts w:ascii="Times New Roman" w:eastAsia="Times New Roman" w:hAnsi="Times New Roman" w:hint="default"/>
        <w:b/>
      </w:rPr>
    </w:lvl>
    <w:lvl w:ilvl="1" w:tplc="04020019" w:tentative="1">
      <w:start w:val="1"/>
      <w:numFmt w:val="lowerLetter"/>
      <w:lvlText w:val="%2."/>
      <w:lvlJc w:val="left"/>
      <w:pPr>
        <w:tabs>
          <w:tab w:val="num" w:pos="1440"/>
        </w:tabs>
        <w:ind w:left="1440" w:hanging="360"/>
      </w:pPr>
      <w:rPr>
        <w:rFonts w:cs="Times New Roman"/>
      </w:rPr>
    </w:lvl>
    <w:lvl w:ilvl="2" w:tplc="0402001B" w:tentative="1">
      <w:start w:val="1"/>
      <w:numFmt w:val="lowerRoman"/>
      <w:lvlText w:val="%3."/>
      <w:lvlJc w:val="right"/>
      <w:pPr>
        <w:tabs>
          <w:tab w:val="num" w:pos="2160"/>
        </w:tabs>
        <w:ind w:left="2160" w:hanging="180"/>
      </w:pPr>
      <w:rPr>
        <w:rFonts w:cs="Times New Roman"/>
      </w:rPr>
    </w:lvl>
    <w:lvl w:ilvl="3" w:tplc="0402000F" w:tentative="1">
      <w:start w:val="1"/>
      <w:numFmt w:val="decimal"/>
      <w:lvlText w:val="%4."/>
      <w:lvlJc w:val="left"/>
      <w:pPr>
        <w:tabs>
          <w:tab w:val="num" w:pos="2880"/>
        </w:tabs>
        <w:ind w:left="2880" w:hanging="360"/>
      </w:pPr>
      <w:rPr>
        <w:rFonts w:cs="Times New Roman"/>
      </w:rPr>
    </w:lvl>
    <w:lvl w:ilvl="4" w:tplc="04020019" w:tentative="1">
      <w:start w:val="1"/>
      <w:numFmt w:val="lowerLetter"/>
      <w:lvlText w:val="%5."/>
      <w:lvlJc w:val="left"/>
      <w:pPr>
        <w:tabs>
          <w:tab w:val="num" w:pos="3600"/>
        </w:tabs>
        <w:ind w:left="3600" w:hanging="360"/>
      </w:pPr>
      <w:rPr>
        <w:rFonts w:cs="Times New Roman"/>
      </w:rPr>
    </w:lvl>
    <w:lvl w:ilvl="5" w:tplc="0402001B" w:tentative="1">
      <w:start w:val="1"/>
      <w:numFmt w:val="lowerRoman"/>
      <w:lvlText w:val="%6."/>
      <w:lvlJc w:val="right"/>
      <w:pPr>
        <w:tabs>
          <w:tab w:val="num" w:pos="4320"/>
        </w:tabs>
        <w:ind w:left="4320" w:hanging="180"/>
      </w:pPr>
      <w:rPr>
        <w:rFonts w:cs="Times New Roman"/>
      </w:rPr>
    </w:lvl>
    <w:lvl w:ilvl="6" w:tplc="0402000F" w:tentative="1">
      <w:start w:val="1"/>
      <w:numFmt w:val="decimal"/>
      <w:lvlText w:val="%7."/>
      <w:lvlJc w:val="left"/>
      <w:pPr>
        <w:tabs>
          <w:tab w:val="num" w:pos="5040"/>
        </w:tabs>
        <w:ind w:left="5040" w:hanging="360"/>
      </w:pPr>
      <w:rPr>
        <w:rFonts w:cs="Times New Roman"/>
      </w:rPr>
    </w:lvl>
    <w:lvl w:ilvl="7" w:tplc="04020019" w:tentative="1">
      <w:start w:val="1"/>
      <w:numFmt w:val="lowerLetter"/>
      <w:lvlText w:val="%8."/>
      <w:lvlJc w:val="left"/>
      <w:pPr>
        <w:tabs>
          <w:tab w:val="num" w:pos="5760"/>
        </w:tabs>
        <w:ind w:left="5760" w:hanging="360"/>
      </w:pPr>
      <w:rPr>
        <w:rFonts w:cs="Times New Roman"/>
      </w:rPr>
    </w:lvl>
    <w:lvl w:ilvl="8" w:tplc="0402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7817F32"/>
    <w:multiLevelType w:val="hybridMultilevel"/>
    <w:tmpl w:val="E1EA72CE"/>
    <w:lvl w:ilvl="0" w:tplc="AE02FFE8">
      <w:start w:val="1"/>
      <w:numFmt w:val="bullet"/>
      <w:pStyle w:val="Bullet"/>
      <w:lvlText w:val="-"/>
      <w:lvlJc w:val="left"/>
      <w:pPr>
        <w:tabs>
          <w:tab w:val="num" w:pos="360"/>
        </w:tabs>
        <w:ind w:left="360" w:hanging="360"/>
      </w:pPr>
      <w:rPr>
        <w:rFonts w:ascii="Times New Roman" w:hAnsi="Times New Roman" w:hint="default"/>
      </w:rPr>
    </w:lvl>
    <w:lvl w:ilvl="1" w:tplc="FFFFFFFF">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8" w15:restartNumberingAfterBreak="0">
    <w:nsid w:val="08861DB2"/>
    <w:multiLevelType w:val="hybridMultilevel"/>
    <w:tmpl w:val="30709440"/>
    <w:lvl w:ilvl="0" w:tplc="C19C1AB2">
      <w:start w:val="1"/>
      <w:numFmt w:val="decimal"/>
      <w:lvlText w:val="%1)"/>
      <w:lvlJc w:val="left"/>
      <w:pPr>
        <w:ind w:left="720" w:hanging="360"/>
      </w:pPr>
      <w:rPr>
        <w:rFonts w:cs="Times New Roman"/>
        <w:b/>
        <w:i w:val="0"/>
      </w:rPr>
    </w:lvl>
    <w:lvl w:ilvl="1" w:tplc="04020019">
      <w:start w:val="1"/>
      <w:numFmt w:val="lowerLetter"/>
      <w:lvlText w:val="%2."/>
      <w:lvlJc w:val="left"/>
      <w:pPr>
        <w:ind w:left="1440" w:hanging="360"/>
      </w:pPr>
      <w:rPr>
        <w:rFonts w:cs="Times New Roman"/>
      </w:rPr>
    </w:lvl>
    <w:lvl w:ilvl="2" w:tplc="0402001B" w:tentative="1">
      <w:start w:val="1"/>
      <w:numFmt w:val="lowerRoman"/>
      <w:lvlText w:val="%3."/>
      <w:lvlJc w:val="right"/>
      <w:pPr>
        <w:ind w:left="2160" w:hanging="180"/>
      </w:pPr>
      <w:rPr>
        <w:rFonts w:cs="Times New Roman"/>
      </w:rPr>
    </w:lvl>
    <w:lvl w:ilvl="3" w:tplc="0402000F" w:tentative="1">
      <w:start w:val="1"/>
      <w:numFmt w:val="decimal"/>
      <w:lvlText w:val="%4."/>
      <w:lvlJc w:val="left"/>
      <w:pPr>
        <w:ind w:left="2880" w:hanging="360"/>
      </w:pPr>
      <w:rPr>
        <w:rFonts w:cs="Times New Roman"/>
      </w:rPr>
    </w:lvl>
    <w:lvl w:ilvl="4" w:tplc="04020019" w:tentative="1">
      <w:start w:val="1"/>
      <w:numFmt w:val="lowerLetter"/>
      <w:lvlText w:val="%5."/>
      <w:lvlJc w:val="left"/>
      <w:pPr>
        <w:ind w:left="3600" w:hanging="360"/>
      </w:pPr>
      <w:rPr>
        <w:rFonts w:cs="Times New Roman"/>
      </w:rPr>
    </w:lvl>
    <w:lvl w:ilvl="5" w:tplc="0402001B" w:tentative="1">
      <w:start w:val="1"/>
      <w:numFmt w:val="lowerRoman"/>
      <w:lvlText w:val="%6."/>
      <w:lvlJc w:val="right"/>
      <w:pPr>
        <w:ind w:left="4320" w:hanging="180"/>
      </w:pPr>
      <w:rPr>
        <w:rFonts w:cs="Times New Roman"/>
      </w:rPr>
    </w:lvl>
    <w:lvl w:ilvl="6" w:tplc="0402000F" w:tentative="1">
      <w:start w:val="1"/>
      <w:numFmt w:val="decimal"/>
      <w:lvlText w:val="%7."/>
      <w:lvlJc w:val="left"/>
      <w:pPr>
        <w:ind w:left="5040" w:hanging="360"/>
      </w:pPr>
      <w:rPr>
        <w:rFonts w:cs="Times New Roman"/>
      </w:rPr>
    </w:lvl>
    <w:lvl w:ilvl="7" w:tplc="04020019" w:tentative="1">
      <w:start w:val="1"/>
      <w:numFmt w:val="lowerLetter"/>
      <w:lvlText w:val="%8."/>
      <w:lvlJc w:val="left"/>
      <w:pPr>
        <w:ind w:left="5760" w:hanging="360"/>
      </w:pPr>
      <w:rPr>
        <w:rFonts w:cs="Times New Roman"/>
      </w:rPr>
    </w:lvl>
    <w:lvl w:ilvl="8" w:tplc="0402001B" w:tentative="1">
      <w:start w:val="1"/>
      <w:numFmt w:val="lowerRoman"/>
      <w:lvlText w:val="%9."/>
      <w:lvlJc w:val="right"/>
      <w:pPr>
        <w:ind w:left="6480" w:hanging="180"/>
      </w:pPr>
      <w:rPr>
        <w:rFonts w:cs="Times New Roman"/>
      </w:rPr>
    </w:lvl>
  </w:abstractNum>
  <w:abstractNum w:abstractNumId="9" w15:restartNumberingAfterBreak="0">
    <w:nsid w:val="0B671F0A"/>
    <w:multiLevelType w:val="hybridMultilevel"/>
    <w:tmpl w:val="E32C919E"/>
    <w:lvl w:ilvl="0" w:tplc="F8FEF114">
      <w:start w:val="1"/>
      <w:numFmt w:val="decimal"/>
      <w:lvlText w:val="%1)"/>
      <w:lvlJc w:val="left"/>
      <w:pPr>
        <w:ind w:left="1571" w:hanging="360"/>
      </w:pPr>
      <w:rPr>
        <w:b/>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10" w15:restartNumberingAfterBreak="0">
    <w:nsid w:val="0C0F5DE6"/>
    <w:multiLevelType w:val="hybridMultilevel"/>
    <w:tmpl w:val="2F2AA980"/>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11" w15:restartNumberingAfterBreak="0">
    <w:nsid w:val="0D582DCA"/>
    <w:multiLevelType w:val="multilevel"/>
    <w:tmpl w:val="583A17E2"/>
    <w:lvl w:ilvl="0">
      <w:start w:val="1"/>
      <w:numFmt w:val="decimal"/>
      <w:pStyle w:val="Style1"/>
      <w:lvlText w:val="%1."/>
      <w:lvlJc w:val="left"/>
      <w:pPr>
        <w:ind w:left="360" w:hanging="360"/>
      </w:pPr>
    </w:lvl>
    <w:lvl w:ilvl="1">
      <w:start w:val="1"/>
      <w:numFmt w:val="decimal"/>
      <w:pStyle w:val="Style2"/>
      <w:lvlText w:val="%1.%2."/>
      <w:lvlJc w:val="left"/>
      <w:pPr>
        <w:ind w:left="792" w:hanging="432"/>
      </w:pPr>
    </w:lvl>
    <w:lvl w:ilvl="2">
      <w:start w:val="1"/>
      <w:numFmt w:val="decimal"/>
      <w:pStyle w:val="Style3"/>
      <w:lvlText w:val="%1.%2.%3."/>
      <w:lvlJc w:val="left"/>
      <w:pPr>
        <w:ind w:left="1072" w:hanging="504"/>
      </w:pPr>
    </w:lvl>
    <w:lvl w:ilvl="3">
      <w:start w:val="1"/>
      <w:numFmt w:val="decimal"/>
      <w:pStyle w:val="Style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0DF10E64"/>
    <w:multiLevelType w:val="hybridMultilevel"/>
    <w:tmpl w:val="9E72F482"/>
    <w:styleLink w:val="11111111"/>
    <w:lvl w:ilvl="0" w:tplc="FFFFFFFF">
      <w:start w:val="1"/>
      <w:numFmt w:val="bullet"/>
      <w:lvlText w:val=""/>
      <w:lvlJc w:val="left"/>
      <w:pPr>
        <w:tabs>
          <w:tab w:val="num" w:pos="720"/>
        </w:tabs>
        <w:ind w:left="720" w:hanging="360"/>
      </w:pPr>
      <w:rPr>
        <w:rFonts w:ascii="Symbol" w:hAnsi="Symbol" w:hint="default"/>
      </w:rPr>
    </w:lvl>
    <w:lvl w:ilvl="1" w:tplc="A6EE9EBA">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A9422F"/>
    <w:multiLevelType w:val="hybridMultilevel"/>
    <w:tmpl w:val="AAEA4D9A"/>
    <w:lvl w:ilvl="0" w:tplc="0402000D">
      <w:start w:val="1"/>
      <w:numFmt w:val="bullet"/>
      <w:lvlText w:val=""/>
      <w:lvlJc w:val="left"/>
      <w:pPr>
        <w:ind w:left="1571" w:hanging="360"/>
      </w:pPr>
      <w:rPr>
        <w:rFonts w:ascii="Wingdings" w:hAnsi="Wingdings"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14" w15:restartNumberingAfterBreak="0">
    <w:nsid w:val="13BE2468"/>
    <w:multiLevelType w:val="hybridMultilevel"/>
    <w:tmpl w:val="E60C18E0"/>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15" w15:restartNumberingAfterBreak="0">
    <w:nsid w:val="147B5EBF"/>
    <w:multiLevelType w:val="hybridMultilevel"/>
    <w:tmpl w:val="31840DBE"/>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16" w15:restartNumberingAfterBreak="0">
    <w:nsid w:val="165B49C4"/>
    <w:multiLevelType w:val="hybridMultilevel"/>
    <w:tmpl w:val="32D22D44"/>
    <w:lvl w:ilvl="0" w:tplc="2EC232BE">
      <w:start w:val="1"/>
      <w:numFmt w:val="bullet"/>
      <w:lvlText w:val="-"/>
      <w:lvlJc w:val="left"/>
      <w:pPr>
        <w:ind w:left="1571" w:hanging="360"/>
      </w:pPr>
      <w:rPr>
        <w:rFonts w:ascii="Times New Roman" w:hAnsi="Times New Roman" w:cs="Times New Roman"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17" w15:restartNumberingAfterBreak="0">
    <w:nsid w:val="17985B48"/>
    <w:multiLevelType w:val="hybridMultilevel"/>
    <w:tmpl w:val="5BFAF0F0"/>
    <w:lvl w:ilvl="0" w:tplc="47E0B608">
      <w:numFmt w:val="bullet"/>
      <w:lvlText w:val="-"/>
      <w:lvlJc w:val="left"/>
      <w:pPr>
        <w:tabs>
          <w:tab w:val="num" w:pos="1425"/>
        </w:tabs>
        <w:ind w:left="1425" w:hanging="360"/>
      </w:pPr>
      <w:rPr>
        <w:rFonts w:ascii="Times New Roman" w:eastAsia="Times New Roman" w:hAnsi="Times New Roman" w:hint="default"/>
        <w:b/>
      </w:rPr>
    </w:lvl>
    <w:lvl w:ilvl="1" w:tplc="AE2E8E80">
      <w:start w:val="1"/>
      <w:numFmt w:val="decimal"/>
      <w:lvlText w:val="10.%2."/>
      <w:lvlJc w:val="left"/>
      <w:pPr>
        <w:tabs>
          <w:tab w:val="num" w:pos="2145"/>
        </w:tabs>
        <w:ind w:left="2145" w:hanging="360"/>
      </w:pPr>
      <w:rPr>
        <w:rFonts w:cs="Times New Roman" w:hint="default"/>
        <w:b/>
      </w:rPr>
    </w:lvl>
    <w:lvl w:ilvl="2" w:tplc="0402001B" w:tentative="1">
      <w:start w:val="1"/>
      <w:numFmt w:val="lowerRoman"/>
      <w:lvlText w:val="%3."/>
      <w:lvlJc w:val="right"/>
      <w:pPr>
        <w:tabs>
          <w:tab w:val="num" w:pos="2865"/>
        </w:tabs>
        <w:ind w:left="2865" w:hanging="180"/>
      </w:pPr>
      <w:rPr>
        <w:rFonts w:cs="Times New Roman"/>
      </w:rPr>
    </w:lvl>
    <w:lvl w:ilvl="3" w:tplc="0402000F">
      <w:start w:val="1"/>
      <w:numFmt w:val="decimal"/>
      <w:lvlText w:val="%4."/>
      <w:lvlJc w:val="left"/>
      <w:pPr>
        <w:tabs>
          <w:tab w:val="num" w:pos="3585"/>
        </w:tabs>
        <w:ind w:left="3585" w:hanging="360"/>
      </w:pPr>
      <w:rPr>
        <w:rFonts w:cs="Times New Roman"/>
      </w:rPr>
    </w:lvl>
    <w:lvl w:ilvl="4" w:tplc="04020019" w:tentative="1">
      <w:start w:val="1"/>
      <w:numFmt w:val="lowerLetter"/>
      <w:lvlText w:val="%5."/>
      <w:lvlJc w:val="left"/>
      <w:pPr>
        <w:tabs>
          <w:tab w:val="num" w:pos="4305"/>
        </w:tabs>
        <w:ind w:left="4305" w:hanging="360"/>
      </w:pPr>
      <w:rPr>
        <w:rFonts w:cs="Times New Roman"/>
      </w:rPr>
    </w:lvl>
    <w:lvl w:ilvl="5" w:tplc="0402001B">
      <w:start w:val="1"/>
      <w:numFmt w:val="lowerRoman"/>
      <w:lvlText w:val="%6."/>
      <w:lvlJc w:val="right"/>
      <w:pPr>
        <w:tabs>
          <w:tab w:val="num" w:pos="5025"/>
        </w:tabs>
        <w:ind w:left="5025" w:hanging="180"/>
      </w:pPr>
      <w:rPr>
        <w:rFonts w:cs="Times New Roman"/>
      </w:rPr>
    </w:lvl>
    <w:lvl w:ilvl="6" w:tplc="0402000F" w:tentative="1">
      <w:start w:val="1"/>
      <w:numFmt w:val="decimal"/>
      <w:lvlText w:val="%7."/>
      <w:lvlJc w:val="left"/>
      <w:pPr>
        <w:tabs>
          <w:tab w:val="num" w:pos="5745"/>
        </w:tabs>
        <w:ind w:left="5745" w:hanging="360"/>
      </w:pPr>
      <w:rPr>
        <w:rFonts w:cs="Times New Roman"/>
      </w:rPr>
    </w:lvl>
    <w:lvl w:ilvl="7" w:tplc="04020019" w:tentative="1">
      <w:start w:val="1"/>
      <w:numFmt w:val="lowerLetter"/>
      <w:lvlText w:val="%8."/>
      <w:lvlJc w:val="left"/>
      <w:pPr>
        <w:tabs>
          <w:tab w:val="num" w:pos="6465"/>
        </w:tabs>
        <w:ind w:left="6465" w:hanging="360"/>
      </w:pPr>
      <w:rPr>
        <w:rFonts w:cs="Times New Roman"/>
      </w:rPr>
    </w:lvl>
    <w:lvl w:ilvl="8" w:tplc="0402001B" w:tentative="1">
      <w:start w:val="1"/>
      <w:numFmt w:val="lowerRoman"/>
      <w:lvlText w:val="%9."/>
      <w:lvlJc w:val="right"/>
      <w:pPr>
        <w:tabs>
          <w:tab w:val="num" w:pos="7185"/>
        </w:tabs>
        <w:ind w:left="7185" w:hanging="180"/>
      </w:pPr>
      <w:rPr>
        <w:rFonts w:cs="Times New Roman"/>
      </w:rPr>
    </w:lvl>
  </w:abstractNum>
  <w:abstractNum w:abstractNumId="18" w15:restartNumberingAfterBreak="0">
    <w:nsid w:val="18274F1F"/>
    <w:multiLevelType w:val="hybridMultilevel"/>
    <w:tmpl w:val="7E04D2A4"/>
    <w:lvl w:ilvl="0" w:tplc="26F25864">
      <w:start w:val="1"/>
      <mc:AlternateContent>
        <mc:Choice Requires="w14">
          <w:numFmt w:val="custom" w:format="а, й, к, ..."/>
        </mc:Choice>
        <mc:Fallback>
          <w:numFmt w:val="decimal"/>
        </mc:Fallback>
      </mc:AlternateContent>
      <w:lvlText w:val="%1)"/>
      <w:lvlJc w:val="left"/>
      <w:pPr>
        <w:ind w:left="1571" w:hanging="360"/>
      </w:pPr>
      <w:rPr>
        <w:rFonts w:cs="Times New Roman" w:hint="default"/>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19" w15:restartNumberingAfterBreak="0">
    <w:nsid w:val="183D1AD5"/>
    <w:multiLevelType w:val="hybridMultilevel"/>
    <w:tmpl w:val="8B769878"/>
    <w:lvl w:ilvl="0" w:tplc="0402000D">
      <w:start w:val="1"/>
      <w:numFmt w:val="bullet"/>
      <w:lvlText w:val=""/>
      <w:lvlJc w:val="left"/>
      <w:pPr>
        <w:ind w:left="720" w:hanging="360"/>
      </w:pPr>
      <w:rPr>
        <w:rFonts w:ascii="Wingdings" w:hAnsi="Wingdings" w:hint="default"/>
      </w:rPr>
    </w:lvl>
    <w:lvl w:ilvl="1" w:tplc="04020003">
      <w:start w:val="1"/>
      <w:numFmt w:val="bullet"/>
      <w:lvlText w:val="o"/>
      <w:lvlJc w:val="left"/>
      <w:pPr>
        <w:ind w:left="1440" w:hanging="360"/>
      </w:pPr>
      <w:rPr>
        <w:rFonts w:ascii="Courier New" w:hAnsi="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0" w15:restartNumberingAfterBreak="0">
    <w:nsid w:val="188C6464"/>
    <w:multiLevelType w:val="hybridMultilevel"/>
    <w:tmpl w:val="81C4AE7C"/>
    <w:lvl w:ilvl="0" w:tplc="1BAE5A9C">
      <w:start w:val="1"/>
      <w:numFmt w:val="lowerRoman"/>
      <w:lvlText w:val="%1)"/>
      <w:lvlJc w:val="left"/>
      <w:pPr>
        <w:ind w:left="1080" w:hanging="72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1" w15:restartNumberingAfterBreak="0">
    <w:nsid w:val="19D65397"/>
    <w:multiLevelType w:val="hybridMultilevel"/>
    <w:tmpl w:val="164E0E0E"/>
    <w:lvl w:ilvl="0" w:tplc="0409000F">
      <w:start w:val="1"/>
      <w:numFmt w:val="decimal"/>
      <w:lvlText w:val="%1."/>
      <w:lvlJc w:val="left"/>
      <w:pPr>
        <w:ind w:left="720" w:hanging="360"/>
      </w:pPr>
      <w:rPr>
        <w:rFonts w:hint="default"/>
      </w:rPr>
    </w:lvl>
    <w:lvl w:ilvl="1" w:tplc="0402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D365091"/>
    <w:multiLevelType w:val="hybridMultilevel"/>
    <w:tmpl w:val="0CEE5E50"/>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23" w15:restartNumberingAfterBreak="0">
    <w:nsid w:val="1F095D6F"/>
    <w:multiLevelType w:val="hybridMultilevel"/>
    <w:tmpl w:val="5D12130C"/>
    <w:lvl w:ilvl="0" w:tplc="075C8D84">
      <w:start w:val="1"/>
      <w:numFmt w:val="decimal"/>
      <w:lvlText w:val="13.%1."/>
      <w:lvlJc w:val="left"/>
      <w:pPr>
        <w:tabs>
          <w:tab w:val="num" w:pos="1152"/>
        </w:tabs>
        <w:ind w:left="1152" w:hanging="851"/>
      </w:pPr>
      <w:rPr>
        <w:rFonts w:cs="Times New Roman" w:hint="default"/>
        <w:b/>
      </w:rPr>
    </w:lvl>
    <w:lvl w:ilvl="1" w:tplc="04020005">
      <w:start w:val="1"/>
      <w:numFmt w:val="bullet"/>
      <w:lvlText w:val=""/>
      <w:lvlJc w:val="left"/>
      <w:pPr>
        <w:tabs>
          <w:tab w:val="num" w:pos="1440"/>
        </w:tabs>
        <w:ind w:left="1440" w:hanging="360"/>
      </w:pPr>
      <w:rPr>
        <w:rFonts w:ascii="Wingdings" w:hAnsi="Wingdings" w:hint="default"/>
        <w:b/>
      </w:rPr>
    </w:lvl>
    <w:lvl w:ilvl="2" w:tplc="9B0EDAB8">
      <w:start w:val="1"/>
      <w:numFmt w:val="decimal"/>
      <w:lvlText w:val="13.%3."/>
      <w:lvlJc w:val="left"/>
      <w:pPr>
        <w:tabs>
          <w:tab w:val="num" w:pos="2831"/>
        </w:tabs>
        <w:ind w:left="2831" w:hanging="851"/>
      </w:pPr>
      <w:rPr>
        <w:rFonts w:cs="Times New Roman" w:hint="default"/>
        <w:b/>
      </w:rPr>
    </w:lvl>
    <w:lvl w:ilvl="3" w:tplc="0402000D">
      <w:start w:val="1"/>
      <w:numFmt w:val="bullet"/>
      <w:lvlText w:val=""/>
      <w:lvlJc w:val="left"/>
      <w:pPr>
        <w:ind w:left="2970" w:hanging="450"/>
      </w:pPr>
      <w:rPr>
        <w:rFonts w:ascii="Wingdings" w:hAnsi="Wingdings" w:hint="default"/>
      </w:rPr>
    </w:lvl>
    <w:lvl w:ilvl="4" w:tplc="04020019" w:tentative="1">
      <w:start w:val="1"/>
      <w:numFmt w:val="lowerLetter"/>
      <w:lvlText w:val="%5."/>
      <w:lvlJc w:val="left"/>
      <w:pPr>
        <w:tabs>
          <w:tab w:val="num" w:pos="3600"/>
        </w:tabs>
        <w:ind w:left="3600" w:hanging="360"/>
      </w:pPr>
      <w:rPr>
        <w:rFonts w:cs="Times New Roman"/>
      </w:rPr>
    </w:lvl>
    <w:lvl w:ilvl="5" w:tplc="0402001B" w:tentative="1">
      <w:start w:val="1"/>
      <w:numFmt w:val="lowerRoman"/>
      <w:lvlText w:val="%6."/>
      <w:lvlJc w:val="right"/>
      <w:pPr>
        <w:tabs>
          <w:tab w:val="num" w:pos="4320"/>
        </w:tabs>
        <w:ind w:left="4320" w:hanging="180"/>
      </w:pPr>
      <w:rPr>
        <w:rFonts w:cs="Times New Roman"/>
      </w:rPr>
    </w:lvl>
    <w:lvl w:ilvl="6" w:tplc="0402000F" w:tentative="1">
      <w:start w:val="1"/>
      <w:numFmt w:val="decimal"/>
      <w:lvlText w:val="%7."/>
      <w:lvlJc w:val="left"/>
      <w:pPr>
        <w:tabs>
          <w:tab w:val="num" w:pos="5040"/>
        </w:tabs>
        <w:ind w:left="5040" w:hanging="360"/>
      </w:pPr>
      <w:rPr>
        <w:rFonts w:cs="Times New Roman"/>
      </w:rPr>
    </w:lvl>
    <w:lvl w:ilvl="7" w:tplc="04020019" w:tentative="1">
      <w:start w:val="1"/>
      <w:numFmt w:val="lowerLetter"/>
      <w:lvlText w:val="%8."/>
      <w:lvlJc w:val="left"/>
      <w:pPr>
        <w:tabs>
          <w:tab w:val="num" w:pos="5760"/>
        </w:tabs>
        <w:ind w:left="5760" w:hanging="360"/>
      </w:pPr>
      <w:rPr>
        <w:rFonts w:cs="Times New Roman"/>
      </w:rPr>
    </w:lvl>
    <w:lvl w:ilvl="8" w:tplc="0402001B" w:tentative="1">
      <w:start w:val="1"/>
      <w:numFmt w:val="lowerRoman"/>
      <w:lvlText w:val="%9."/>
      <w:lvlJc w:val="right"/>
      <w:pPr>
        <w:tabs>
          <w:tab w:val="num" w:pos="6480"/>
        </w:tabs>
        <w:ind w:left="6480" w:hanging="180"/>
      </w:pPr>
      <w:rPr>
        <w:rFonts w:cs="Times New Roman"/>
      </w:rPr>
    </w:lvl>
  </w:abstractNum>
  <w:abstractNum w:abstractNumId="24" w15:restartNumberingAfterBreak="0">
    <w:nsid w:val="210F7D40"/>
    <w:multiLevelType w:val="hybridMultilevel"/>
    <w:tmpl w:val="F6EC5436"/>
    <w:lvl w:ilvl="0" w:tplc="2B8CE1EA">
      <w:start w:val="1"/>
      <w:numFmt w:val="decimal"/>
      <w:lvlText w:val="%1)"/>
      <w:lvlJc w:val="left"/>
      <w:pPr>
        <w:ind w:left="1571" w:hanging="360"/>
      </w:pPr>
      <w:rPr>
        <w:b/>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25" w15:restartNumberingAfterBreak="0">
    <w:nsid w:val="21B840E0"/>
    <w:multiLevelType w:val="hybridMultilevel"/>
    <w:tmpl w:val="26168F5C"/>
    <w:lvl w:ilvl="0" w:tplc="6BEEEDE6">
      <w:start w:val="1"/>
      <w:numFmt w:val="decimal"/>
      <w:lvlText w:val="%1)"/>
      <w:lvlJc w:val="left"/>
      <w:pPr>
        <w:ind w:left="1429" w:hanging="360"/>
      </w:pPr>
      <w:rPr>
        <w:rFonts w:cs="Times New Roman"/>
        <w:b/>
        <w:i w:val="0"/>
      </w:rPr>
    </w:lvl>
    <w:lvl w:ilvl="1" w:tplc="04020019" w:tentative="1">
      <w:start w:val="1"/>
      <w:numFmt w:val="lowerLetter"/>
      <w:lvlText w:val="%2."/>
      <w:lvlJc w:val="left"/>
      <w:pPr>
        <w:ind w:left="2149" w:hanging="360"/>
      </w:pPr>
      <w:rPr>
        <w:rFonts w:cs="Times New Roman"/>
      </w:rPr>
    </w:lvl>
    <w:lvl w:ilvl="2" w:tplc="0402001B" w:tentative="1">
      <w:start w:val="1"/>
      <w:numFmt w:val="lowerRoman"/>
      <w:lvlText w:val="%3."/>
      <w:lvlJc w:val="right"/>
      <w:pPr>
        <w:ind w:left="2869" w:hanging="180"/>
      </w:pPr>
      <w:rPr>
        <w:rFonts w:cs="Times New Roman"/>
      </w:rPr>
    </w:lvl>
    <w:lvl w:ilvl="3" w:tplc="0402000F" w:tentative="1">
      <w:start w:val="1"/>
      <w:numFmt w:val="decimal"/>
      <w:lvlText w:val="%4."/>
      <w:lvlJc w:val="left"/>
      <w:pPr>
        <w:ind w:left="3589" w:hanging="360"/>
      </w:pPr>
      <w:rPr>
        <w:rFonts w:cs="Times New Roman"/>
      </w:rPr>
    </w:lvl>
    <w:lvl w:ilvl="4" w:tplc="04020019" w:tentative="1">
      <w:start w:val="1"/>
      <w:numFmt w:val="lowerLetter"/>
      <w:lvlText w:val="%5."/>
      <w:lvlJc w:val="left"/>
      <w:pPr>
        <w:ind w:left="4309" w:hanging="360"/>
      </w:pPr>
      <w:rPr>
        <w:rFonts w:cs="Times New Roman"/>
      </w:rPr>
    </w:lvl>
    <w:lvl w:ilvl="5" w:tplc="0402001B" w:tentative="1">
      <w:start w:val="1"/>
      <w:numFmt w:val="lowerRoman"/>
      <w:lvlText w:val="%6."/>
      <w:lvlJc w:val="right"/>
      <w:pPr>
        <w:ind w:left="5029" w:hanging="180"/>
      </w:pPr>
      <w:rPr>
        <w:rFonts w:cs="Times New Roman"/>
      </w:rPr>
    </w:lvl>
    <w:lvl w:ilvl="6" w:tplc="0402000F" w:tentative="1">
      <w:start w:val="1"/>
      <w:numFmt w:val="decimal"/>
      <w:lvlText w:val="%7."/>
      <w:lvlJc w:val="left"/>
      <w:pPr>
        <w:ind w:left="5749" w:hanging="360"/>
      </w:pPr>
      <w:rPr>
        <w:rFonts w:cs="Times New Roman"/>
      </w:rPr>
    </w:lvl>
    <w:lvl w:ilvl="7" w:tplc="04020019" w:tentative="1">
      <w:start w:val="1"/>
      <w:numFmt w:val="lowerLetter"/>
      <w:lvlText w:val="%8."/>
      <w:lvlJc w:val="left"/>
      <w:pPr>
        <w:ind w:left="6469" w:hanging="360"/>
      </w:pPr>
      <w:rPr>
        <w:rFonts w:cs="Times New Roman"/>
      </w:rPr>
    </w:lvl>
    <w:lvl w:ilvl="8" w:tplc="0402001B" w:tentative="1">
      <w:start w:val="1"/>
      <w:numFmt w:val="lowerRoman"/>
      <w:lvlText w:val="%9."/>
      <w:lvlJc w:val="right"/>
      <w:pPr>
        <w:ind w:left="7189" w:hanging="180"/>
      </w:pPr>
      <w:rPr>
        <w:rFonts w:cs="Times New Roman"/>
      </w:rPr>
    </w:lvl>
  </w:abstractNum>
  <w:abstractNum w:abstractNumId="26" w15:restartNumberingAfterBreak="0">
    <w:nsid w:val="22CC1735"/>
    <w:multiLevelType w:val="hybridMultilevel"/>
    <w:tmpl w:val="9C68AD50"/>
    <w:lvl w:ilvl="0" w:tplc="7FECEAC0">
      <w:start w:val="1"/>
      <w:numFmt w:val="decimal"/>
      <w:lvlText w:val="%1)"/>
      <w:lvlJc w:val="left"/>
      <w:pPr>
        <w:ind w:left="1571" w:hanging="360"/>
      </w:pPr>
      <w:rPr>
        <w:b/>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27" w15:restartNumberingAfterBreak="0">
    <w:nsid w:val="232332C4"/>
    <w:multiLevelType w:val="hybridMultilevel"/>
    <w:tmpl w:val="8CC038DA"/>
    <w:lvl w:ilvl="0" w:tplc="0402000D">
      <w:start w:val="1"/>
      <w:numFmt w:val="bullet"/>
      <w:lvlText w:val=""/>
      <w:lvlJc w:val="left"/>
      <w:pPr>
        <w:tabs>
          <w:tab w:val="num" w:pos="720"/>
        </w:tabs>
        <w:ind w:left="720" w:hanging="360"/>
      </w:pPr>
      <w:rPr>
        <w:rFonts w:ascii="Wingdings" w:hAnsi="Wingdings" w:hint="default"/>
      </w:rPr>
    </w:lvl>
    <w:lvl w:ilvl="1" w:tplc="04020003" w:tentative="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3360950"/>
    <w:multiLevelType w:val="hybridMultilevel"/>
    <w:tmpl w:val="D4A2D5C6"/>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29" w15:restartNumberingAfterBreak="0">
    <w:nsid w:val="2399550F"/>
    <w:multiLevelType w:val="hybridMultilevel"/>
    <w:tmpl w:val="C19058A8"/>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30" w15:restartNumberingAfterBreak="0">
    <w:nsid w:val="28435F76"/>
    <w:multiLevelType w:val="hybridMultilevel"/>
    <w:tmpl w:val="565A0FEE"/>
    <w:lvl w:ilvl="0" w:tplc="1F74EAAC">
      <w:start w:val="1"/>
      <w:numFmt w:val="decimal"/>
      <w:lvlText w:val="%1)"/>
      <w:lvlJc w:val="left"/>
      <w:pPr>
        <w:ind w:left="786" w:hanging="360"/>
      </w:pPr>
      <w:rPr>
        <w:rFonts w:cs="Times New Roman"/>
        <w:b/>
        <w:i w:val="0"/>
      </w:rPr>
    </w:lvl>
    <w:lvl w:ilvl="1" w:tplc="04020019">
      <w:start w:val="1"/>
      <w:numFmt w:val="lowerLetter"/>
      <w:lvlText w:val="%2."/>
      <w:lvlJc w:val="left"/>
      <w:pPr>
        <w:ind w:left="1506" w:hanging="360"/>
      </w:pPr>
      <w:rPr>
        <w:rFonts w:cs="Times New Roman"/>
      </w:rPr>
    </w:lvl>
    <w:lvl w:ilvl="2" w:tplc="0402001B" w:tentative="1">
      <w:start w:val="1"/>
      <w:numFmt w:val="lowerRoman"/>
      <w:lvlText w:val="%3."/>
      <w:lvlJc w:val="right"/>
      <w:pPr>
        <w:ind w:left="2226" w:hanging="180"/>
      </w:pPr>
      <w:rPr>
        <w:rFonts w:cs="Times New Roman"/>
      </w:rPr>
    </w:lvl>
    <w:lvl w:ilvl="3" w:tplc="0402000F" w:tentative="1">
      <w:start w:val="1"/>
      <w:numFmt w:val="decimal"/>
      <w:lvlText w:val="%4."/>
      <w:lvlJc w:val="left"/>
      <w:pPr>
        <w:ind w:left="2946" w:hanging="360"/>
      </w:pPr>
      <w:rPr>
        <w:rFonts w:cs="Times New Roman"/>
      </w:rPr>
    </w:lvl>
    <w:lvl w:ilvl="4" w:tplc="04020019" w:tentative="1">
      <w:start w:val="1"/>
      <w:numFmt w:val="lowerLetter"/>
      <w:lvlText w:val="%5."/>
      <w:lvlJc w:val="left"/>
      <w:pPr>
        <w:ind w:left="3666" w:hanging="360"/>
      </w:pPr>
      <w:rPr>
        <w:rFonts w:cs="Times New Roman"/>
      </w:rPr>
    </w:lvl>
    <w:lvl w:ilvl="5" w:tplc="0402001B" w:tentative="1">
      <w:start w:val="1"/>
      <w:numFmt w:val="lowerRoman"/>
      <w:lvlText w:val="%6."/>
      <w:lvlJc w:val="right"/>
      <w:pPr>
        <w:ind w:left="4386" w:hanging="180"/>
      </w:pPr>
      <w:rPr>
        <w:rFonts w:cs="Times New Roman"/>
      </w:rPr>
    </w:lvl>
    <w:lvl w:ilvl="6" w:tplc="0402000F" w:tentative="1">
      <w:start w:val="1"/>
      <w:numFmt w:val="decimal"/>
      <w:lvlText w:val="%7."/>
      <w:lvlJc w:val="left"/>
      <w:pPr>
        <w:ind w:left="5106" w:hanging="360"/>
      </w:pPr>
      <w:rPr>
        <w:rFonts w:cs="Times New Roman"/>
      </w:rPr>
    </w:lvl>
    <w:lvl w:ilvl="7" w:tplc="04020019" w:tentative="1">
      <w:start w:val="1"/>
      <w:numFmt w:val="lowerLetter"/>
      <w:lvlText w:val="%8."/>
      <w:lvlJc w:val="left"/>
      <w:pPr>
        <w:ind w:left="5826" w:hanging="360"/>
      </w:pPr>
      <w:rPr>
        <w:rFonts w:cs="Times New Roman"/>
      </w:rPr>
    </w:lvl>
    <w:lvl w:ilvl="8" w:tplc="0402001B" w:tentative="1">
      <w:start w:val="1"/>
      <w:numFmt w:val="lowerRoman"/>
      <w:lvlText w:val="%9."/>
      <w:lvlJc w:val="right"/>
      <w:pPr>
        <w:ind w:left="6546" w:hanging="180"/>
      </w:pPr>
      <w:rPr>
        <w:rFonts w:cs="Times New Roman"/>
      </w:rPr>
    </w:lvl>
  </w:abstractNum>
  <w:abstractNum w:abstractNumId="31" w15:restartNumberingAfterBreak="0">
    <w:nsid w:val="2B0F2A23"/>
    <w:multiLevelType w:val="singleLevel"/>
    <w:tmpl w:val="04150001"/>
    <w:lvl w:ilvl="0">
      <w:start w:val="1"/>
      <w:numFmt w:val="bullet"/>
      <w:pStyle w:val="NormalIndent"/>
      <w:lvlText w:val=""/>
      <w:lvlJc w:val="left"/>
      <w:pPr>
        <w:tabs>
          <w:tab w:val="num" w:pos="360"/>
        </w:tabs>
        <w:ind w:left="360" w:hanging="360"/>
      </w:pPr>
      <w:rPr>
        <w:rFonts w:ascii="Symbol" w:hAnsi="Symbol" w:hint="default"/>
      </w:rPr>
    </w:lvl>
  </w:abstractNum>
  <w:abstractNum w:abstractNumId="32" w15:restartNumberingAfterBreak="0">
    <w:nsid w:val="2B75631B"/>
    <w:multiLevelType w:val="singleLevel"/>
    <w:tmpl w:val="A4DC141A"/>
    <w:lvl w:ilvl="0">
      <w:start w:val="1"/>
      <w:numFmt w:val="bullet"/>
      <w:pStyle w:val="Normal-bullet1"/>
      <w:lvlText w:val=""/>
      <w:lvlJc w:val="left"/>
      <w:pPr>
        <w:tabs>
          <w:tab w:val="num" w:pos="765"/>
        </w:tabs>
        <w:ind w:left="765" w:hanging="283"/>
      </w:pPr>
      <w:rPr>
        <w:rFonts w:ascii="Symbol" w:hAnsi="Symbol"/>
      </w:rPr>
    </w:lvl>
  </w:abstractNum>
  <w:abstractNum w:abstractNumId="33" w15:restartNumberingAfterBreak="0">
    <w:nsid w:val="2C8A6373"/>
    <w:multiLevelType w:val="hybridMultilevel"/>
    <w:tmpl w:val="0FDA5CE8"/>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34" w15:restartNumberingAfterBreak="0">
    <w:nsid w:val="2F5C25DF"/>
    <w:multiLevelType w:val="hybridMultilevel"/>
    <w:tmpl w:val="387E9B68"/>
    <w:lvl w:ilvl="0" w:tplc="2EC232BE">
      <w:start w:val="1"/>
      <w:numFmt w:val="bullet"/>
      <w:lvlText w:val="-"/>
      <w:lvlJc w:val="left"/>
      <w:pPr>
        <w:ind w:left="1571" w:hanging="360"/>
      </w:pPr>
      <w:rPr>
        <w:rFonts w:ascii="Times New Roman" w:hAnsi="Times New Roman" w:cs="Times New Roman"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35" w15:restartNumberingAfterBreak="0">
    <w:nsid w:val="301B3525"/>
    <w:multiLevelType w:val="hybridMultilevel"/>
    <w:tmpl w:val="1CA41A10"/>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36" w15:restartNumberingAfterBreak="0">
    <w:nsid w:val="307C5180"/>
    <w:multiLevelType w:val="hybridMultilevel"/>
    <w:tmpl w:val="D3E6D246"/>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37" w15:restartNumberingAfterBreak="0">
    <w:nsid w:val="31331BE1"/>
    <w:multiLevelType w:val="hybridMultilevel"/>
    <w:tmpl w:val="8AC8B6F6"/>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38" w15:restartNumberingAfterBreak="0">
    <w:nsid w:val="325118A5"/>
    <w:multiLevelType w:val="hybridMultilevel"/>
    <w:tmpl w:val="45D08FB6"/>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39" w15:restartNumberingAfterBreak="0">
    <w:nsid w:val="337F3DF9"/>
    <w:multiLevelType w:val="hybridMultilevel"/>
    <w:tmpl w:val="5A0CF7F0"/>
    <w:lvl w:ilvl="0" w:tplc="58D8EF16">
      <w:start w:val="1"/>
      <w:numFmt w:val="decimal"/>
      <w:lvlText w:val="%1)"/>
      <w:lvlJc w:val="left"/>
      <w:pPr>
        <w:ind w:left="1571" w:hanging="360"/>
      </w:pPr>
      <w:rPr>
        <w:b/>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40" w15:restartNumberingAfterBreak="0">
    <w:nsid w:val="33950A88"/>
    <w:multiLevelType w:val="multilevel"/>
    <w:tmpl w:val="53A8AA04"/>
    <w:lvl w:ilvl="0">
      <w:start w:val="1"/>
      <w:numFmt w:val="bullet"/>
      <w:pStyle w:val="Application4"/>
      <w:lvlText w:val=""/>
      <w:lvlJc w:val="left"/>
      <w:pPr>
        <w:tabs>
          <w:tab w:val="num" w:pos="1134"/>
        </w:tabs>
        <w:ind w:left="1134" w:hanging="567"/>
      </w:pPr>
      <w:rPr>
        <w:rFonts w:ascii="Wingdings" w:hAnsi="Wingdings" w:hint="default"/>
        <w:sz w:val="16"/>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41" w15:restartNumberingAfterBreak="0">
    <w:nsid w:val="37A32D43"/>
    <w:multiLevelType w:val="multilevel"/>
    <w:tmpl w:val="CD04C40A"/>
    <w:lvl w:ilvl="0">
      <w:start w:val="1"/>
      <w:numFmt w:val="decimal"/>
      <w:lvlText w:val="%1."/>
      <w:lvlJc w:val="left"/>
      <w:pPr>
        <w:ind w:left="360" w:hanging="360"/>
      </w:pPr>
      <w:rPr>
        <w:rFonts w:cs="Times New Roman" w:hint="default"/>
        <w:b/>
      </w:rPr>
    </w:lvl>
    <w:lvl w:ilvl="1">
      <w:start w:val="1"/>
      <w:numFmt w:val="decimal"/>
      <w:lvlText w:val="%1.%2."/>
      <w:lvlJc w:val="left"/>
      <w:pPr>
        <w:ind w:left="6245" w:hanging="432"/>
      </w:pPr>
      <w:rPr>
        <w:rFonts w:cs="Times New Roman" w:hint="default"/>
        <w:b/>
        <w:sz w:val="24"/>
        <w:szCs w:val="24"/>
      </w:rPr>
    </w:lvl>
    <w:lvl w:ilvl="2">
      <w:start w:val="1"/>
      <w:numFmt w:val="decimal"/>
      <w:lvlText w:val="%1.%2.%3."/>
      <w:lvlJc w:val="left"/>
      <w:pPr>
        <w:ind w:left="1355"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2" w15:restartNumberingAfterBreak="0">
    <w:nsid w:val="38F37545"/>
    <w:multiLevelType w:val="hybridMultilevel"/>
    <w:tmpl w:val="370E7D8A"/>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43" w15:restartNumberingAfterBreak="0">
    <w:nsid w:val="39A24E7C"/>
    <w:multiLevelType w:val="hybridMultilevel"/>
    <w:tmpl w:val="64C430E2"/>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44" w15:restartNumberingAfterBreak="0">
    <w:nsid w:val="3BE33B40"/>
    <w:multiLevelType w:val="hybridMultilevel"/>
    <w:tmpl w:val="6838BC10"/>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45" w15:restartNumberingAfterBreak="0">
    <w:nsid w:val="40C46071"/>
    <w:multiLevelType w:val="hybridMultilevel"/>
    <w:tmpl w:val="41887D40"/>
    <w:lvl w:ilvl="0" w:tplc="0402001B">
      <w:start w:val="1"/>
      <w:numFmt w:val="lowerRoman"/>
      <w:lvlText w:val="%1."/>
      <w:lvlJc w:val="right"/>
      <w:pPr>
        <w:ind w:left="1571" w:hanging="360"/>
      </w:p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46" w15:restartNumberingAfterBreak="0">
    <w:nsid w:val="44995B37"/>
    <w:multiLevelType w:val="hybridMultilevel"/>
    <w:tmpl w:val="38FCAC92"/>
    <w:lvl w:ilvl="0" w:tplc="2EC232BE">
      <w:start w:val="1"/>
      <w:numFmt w:val="bullet"/>
      <w:lvlText w:val="-"/>
      <w:lvlJc w:val="left"/>
      <w:pPr>
        <w:ind w:left="1571" w:hanging="360"/>
      </w:pPr>
      <w:rPr>
        <w:rFonts w:ascii="Times New Roman" w:hAnsi="Times New Roman" w:cs="Times New Roman"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47" w15:restartNumberingAfterBreak="0">
    <w:nsid w:val="4560454C"/>
    <w:multiLevelType w:val="hybridMultilevel"/>
    <w:tmpl w:val="86222FF2"/>
    <w:lvl w:ilvl="0" w:tplc="2EC232BE">
      <w:start w:val="1"/>
      <w:numFmt w:val="bullet"/>
      <w:lvlText w:val="-"/>
      <w:lvlJc w:val="left"/>
      <w:pPr>
        <w:ind w:left="1571" w:hanging="360"/>
      </w:pPr>
      <w:rPr>
        <w:rFonts w:ascii="Times New Roman" w:hAnsi="Times New Roman" w:cs="Times New Roman"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48" w15:restartNumberingAfterBreak="0">
    <w:nsid w:val="462B1B4E"/>
    <w:multiLevelType w:val="hybridMultilevel"/>
    <w:tmpl w:val="72E06706"/>
    <w:lvl w:ilvl="0" w:tplc="B3728DC4">
      <w:start w:val="1"/>
      <w:numFmt w:val="decimal"/>
      <w:lvlText w:val="%1)"/>
      <w:lvlJc w:val="left"/>
      <w:pPr>
        <w:ind w:left="1571" w:hanging="360"/>
      </w:pPr>
      <w:rPr>
        <w:b/>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49" w15:restartNumberingAfterBreak="0">
    <w:nsid w:val="46A73A88"/>
    <w:multiLevelType w:val="multilevel"/>
    <w:tmpl w:val="5E6A91C4"/>
    <w:lvl w:ilvl="0">
      <w:start w:val="1"/>
      <w:numFmt w:val="decimal"/>
      <w:pStyle w:val="SUK3"/>
      <w:lvlText w:val="%1."/>
      <w:lvlJc w:val="left"/>
      <w:pPr>
        <w:ind w:left="433" w:hanging="360"/>
      </w:pPr>
      <w:rPr>
        <w:rFonts w:cs="Times New Roman" w:hint="default"/>
      </w:rPr>
    </w:lvl>
    <w:lvl w:ilvl="1">
      <w:start w:val="1"/>
      <w:numFmt w:val="decimal"/>
      <w:pStyle w:val="suk3-1"/>
      <w:lvlText w:val="%1.%2."/>
      <w:lvlJc w:val="left"/>
      <w:pPr>
        <w:ind w:left="865" w:hanging="432"/>
      </w:pPr>
      <w:rPr>
        <w:rFonts w:ascii="Times New Roman Bold" w:hAnsi="Times New Roman Bold" w:cs="Times New Roman"/>
        <w:i w:val="0"/>
      </w:rPr>
    </w:lvl>
    <w:lvl w:ilvl="2">
      <w:start w:val="1"/>
      <w:numFmt w:val="decimal"/>
      <w:pStyle w:val="SUK3"/>
      <w:lvlText w:val="%1.%2.%3."/>
      <w:lvlJc w:val="left"/>
      <w:pPr>
        <w:ind w:left="930" w:hanging="504"/>
      </w:pPr>
      <w:rPr>
        <w:rFonts w:cs="Times New Roman"/>
        <w:b/>
        <w:bCs w:val="0"/>
        <w:i w:val="0"/>
        <w:iCs w:val="0"/>
        <w:caps w:val="0"/>
        <w:smallCaps w:val="0"/>
        <w:strike w:val="0"/>
        <w:dstrike w:val="0"/>
        <w:vanish w:val="0"/>
        <w:spacing w:val="0"/>
        <w:kern w:val="0"/>
        <w:position w:val="0"/>
        <w:sz w:val="24"/>
        <w:szCs w:val="24"/>
        <w:u w:val="none"/>
        <w:effect w:val="none"/>
        <w:vertAlign w:val="baseline"/>
      </w:rPr>
    </w:lvl>
    <w:lvl w:ilvl="3">
      <w:start w:val="1"/>
      <w:numFmt w:val="decimal"/>
      <w:lvlText w:val="%1.%2.%3.%4."/>
      <w:lvlJc w:val="left"/>
      <w:pPr>
        <w:ind w:left="1783" w:hanging="648"/>
      </w:pPr>
      <w:rPr>
        <w:rFonts w:cs="Times New Roman"/>
        <w:b/>
      </w:rPr>
    </w:lvl>
    <w:lvl w:ilvl="4">
      <w:start w:val="1"/>
      <w:numFmt w:val="decimal"/>
      <w:lvlText w:val="%1.%2.%3.%4.%5."/>
      <w:lvlJc w:val="left"/>
      <w:pPr>
        <w:ind w:left="2305" w:hanging="792"/>
      </w:pPr>
      <w:rPr>
        <w:rFonts w:cs="Times New Roman"/>
      </w:rPr>
    </w:lvl>
    <w:lvl w:ilvl="5">
      <w:start w:val="1"/>
      <w:numFmt w:val="decimal"/>
      <w:lvlText w:val="%1.%2.%3.%4.%5.%6."/>
      <w:lvlJc w:val="left"/>
      <w:pPr>
        <w:ind w:left="2809" w:hanging="936"/>
      </w:pPr>
      <w:rPr>
        <w:rFonts w:cs="Times New Roman"/>
      </w:rPr>
    </w:lvl>
    <w:lvl w:ilvl="6">
      <w:start w:val="1"/>
      <w:numFmt w:val="decimal"/>
      <w:lvlText w:val="%1.%2.%3.%4.%5.%6.%7."/>
      <w:lvlJc w:val="left"/>
      <w:pPr>
        <w:ind w:left="3313" w:hanging="1080"/>
      </w:pPr>
      <w:rPr>
        <w:rFonts w:cs="Times New Roman"/>
      </w:rPr>
    </w:lvl>
    <w:lvl w:ilvl="7">
      <w:start w:val="1"/>
      <w:numFmt w:val="decimal"/>
      <w:lvlText w:val="%1.%2.%3.%4.%5.%6.%7.%8."/>
      <w:lvlJc w:val="left"/>
      <w:pPr>
        <w:ind w:left="3817" w:hanging="1224"/>
      </w:pPr>
      <w:rPr>
        <w:rFonts w:cs="Times New Roman"/>
      </w:rPr>
    </w:lvl>
    <w:lvl w:ilvl="8">
      <w:start w:val="1"/>
      <w:numFmt w:val="decimal"/>
      <w:lvlText w:val="%1.%2.%3.%4.%5.%6.%7.%8.%9."/>
      <w:lvlJc w:val="left"/>
      <w:pPr>
        <w:ind w:left="4393" w:hanging="1440"/>
      </w:pPr>
      <w:rPr>
        <w:rFonts w:cs="Times New Roman"/>
      </w:rPr>
    </w:lvl>
  </w:abstractNum>
  <w:abstractNum w:abstractNumId="50" w15:restartNumberingAfterBreak="0">
    <w:nsid w:val="471815EC"/>
    <w:multiLevelType w:val="hybridMultilevel"/>
    <w:tmpl w:val="7C846104"/>
    <w:lvl w:ilvl="0" w:tplc="0402000D">
      <w:start w:val="1"/>
      <w:numFmt w:val="bullet"/>
      <w:lvlText w:val=""/>
      <w:lvlJc w:val="left"/>
      <w:pPr>
        <w:ind w:left="1571" w:hanging="360"/>
      </w:pPr>
      <w:rPr>
        <w:rFonts w:ascii="Wingdings" w:hAnsi="Wingdings" w:hint="default"/>
      </w:rPr>
    </w:lvl>
    <w:lvl w:ilvl="1" w:tplc="04020003">
      <w:start w:val="1"/>
      <w:numFmt w:val="bullet"/>
      <w:lvlText w:val="o"/>
      <w:lvlJc w:val="left"/>
      <w:pPr>
        <w:ind w:left="2291" w:hanging="360"/>
      </w:pPr>
      <w:rPr>
        <w:rFonts w:ascii="Courier New" w:hAnsi="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51" w15:restartNumberingAfterBreak="0">
    <w:nsid w:val="48257C12"/>
    <w:multiLevelType w:val="hybridMultilevel"/>
    <w:tmpl w:val="32A8D688"/>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52" w15:restartNumberingAfterBreak="0">
    <w:nsid w:val="48261420"/>
    <w:multiLevelType w:val="hybridMultilevel"/>
    <w:tmpl w:val="81C4AE7C"/>
    <w:lvl w:ilvl="0" w:tplc="1BAE5A9C">
      <w:start w:val="1"/>
      <w:numFmt w:val="lowerRoman"/>
      <w:lvlText w:val="%1)"/>
      <w:lvlJc w:val="left"/>
      <w:pPr>
        <w:ind w:left="1080" w:hanging="72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3" w15:restartNumberingAfterBreak="0">
    <w:nsid w:val="486B73F6"/>
    <w:multiLevelType w:val="hybridMultilevel"/>
    <w:tmpl w:val="F61E8DF0"/>
    <w:lvl w:ilvl="0" w:tplc="04090017">
      <w:start w:val="1"/>
      <w:numFmt w:val="lowerLetter"/>
      <w:lvlText w:val="%1)"/>
      <w:lvlJc w:val="left"/>
      <w:pPr>
        <w:ind w:left="1571" w:hanging="360"/>
      </w:pPr>
      <w:rPr>
        <w:rFonts w:cs="Times New Roman"/>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54" w15:restartNumberingAfterBreak="0">
    <w:nsid w:val="49CB2997"/>
    <w:multiLevelType w:val="multilevel"/>
    <w:tmpl w:val="CD04C40A"/>
    <w:lvl w:ilvl="0">
      <w:start w:val="1"/>
      <w:numFmt w:val="decimal"/>
      <w:lvlText w:val="%1."/>
      <w:lvlJc w:val="left"/>
      <w:pPr>
        <w:ind w:left="360" w:hanging="360"/>
      </w:pPr>
      <w:rPr>
        <w:rFonts w:cs="Times New Roman" w:hint="default"/>
        <w:b/>
      </w:rPr>
    </w:lvl>
    <w:lvl w:ilvl="1">
      <w:start w:val="1"/>
      <w:numFmt w:val="decimal"/>
      <w:lvlText w:val="%1.%2."/>
      <w:lvlJc w:val="left"/>
      <w:pPr>
        <w:ind w:left="6245" w:hanging="432"/>
      </w:pPr>
      <w:rPr>
        <w:rFonts w:cs="Times New Roman" w:hint="default"/>
        <w:b/>
        <w:sz w:val="24"/>
        <w:szCs w:val="24"/>
      </w:rPr>
    </w:lvl>
    <w:lvl w:ilvl="2">
      <w:start w:val="1"/>
      <w:numFmt w:val="decimal"/>
      <w:lvlText w:val="%1.%2.%3."/>
      <w:lvlJc w:val="left"/>
      <w:pPr>
        <w:ind w:left="1355"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5" w15:restartNumberingAfterBreak="0">
    <w:nsid w:val="4A724855"/>
    <w:multiLevelType w:val="hybridMultilevel"/>
    <w:tmpl w:val="6FE8B63C"/>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56" w15:restartNumberingAfterBreak="0">
    <w:nsid w:val="4BC74423"/>
    <w:multiLevelType w:val="hybridMultilevel"/>
    <w:tmpl w:val="854C201C"/>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57" w15:restartNumberingAfterBreak="0">
    <w:nsid w:val="4C31266C"/>
    <w:multiLevelType w:val="hybridMultilevel"/>
    <w:tmpl w:val="6F1625B4"/>
    <w:lvl w:ilvl="0" w:tplc="2EC232BE">
      <w:start w:val="1"/>
      <w:numFmt w:val="bullet"/>
      <w:lvlText w:val="-"/>
      <w:lvlJc w:val="left"/>
      <w:pPr>
        <w:ind w:left="1571" w:hanging="360"/>
      </w:pPr>
      <w:rPr>
        <w:rFonts w:ascii="Times New Roman" w:hAnsi="Times New Roman" w:cs="Times New Roman"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58" w15:restartNumberingAfterBreak="0">
    <w:nsid w:val="4CE11AE2"/>
    <w:multiLevelType w:val="multilevel"/>
    <w:tmpl w:val="F6326028"/>
    <w:lvl w:ilvl="0">
      <w:start w:val="1"/>
      <w:numFmt w:val="decimal"/>
      <w:lvlText w:val="%1."/>
      <w:lvlJc w:val="left"/>
      <w:pPr>
        <w:ind w:left="360" w:hanging="360"/>
      </w:pPr>
      <w:rPr>
        <w:rFonts w:cs="Times New Roman" w:hint="default"/>
        <w:b/>
        <w:sz w:val="24"/>
        <w:szCs w:val="24"/>
      </w:rPr>
    </w:lvl>
    <w:lvl w:ilvl="1">
      <w:start w:val="1"/>
      <w:numFmt w:val="decimal"/>
      <w:pStyle w:val="SUK2"/>
      <w:lvlText w:val="%1.%2."/>
      <w:lvlJc w:val="left"/>
      <w:pPr>
        <w:ind w:left="792" w:hanging="432"/>
      </w:pPr>
      <w:rPr>
        <w:rFonts w:cs="Times New Roman"/>
        <w:i w:val="0"/>
      </w:rPr>
    </w:lvl>
    <w:lvl w:ilvl="2">
      <w:start w:val="1"/>
      <w:numFmt w:val="decimal"/>
      <w:lvlText w:val="%1.%2.%3."/>
      <w:lvlJc w:val="left"/>
      <w:pPr>
        <w:ind w:left="788" w:hanging="504"/>
      </w:pPr>
      <w:rPr>
        <w:rFonts w:cs="Times New Roman"/>
        <w:i w:val="0"/>
        <w:sz w:val="24"/>
        <w:szCs w:val="24"/>
      </w:rPr>
    </w:lvl>
    <w:lvl w:ilvl="3">
      <w:start w:val="1"/>
      <w:numFmt w:val="decimal"/>
      <w:lvlText w:val="%1.%2.%3.%4."/>
      <w:lvlJc w:val="left"/>
      <w:pPr>
        <w:ind w:left="2775" w:hanging="648"/>
      </w:pPr>
      <w:rPr>
        <w:rFonts w:cs="Times New Roman"/>
        <w:i w:val="0"/>
      </w:rPr>
    </w:lvl>
    <w:lvl w:ilvl="4">
      <w:start w:val="1"/>
      <w:numFmt w:val="decimal"/>
      <w:lvlText w:val="%1.%2.%3.%4.%5."/>
      <w:lvlJc w:val="left"/>
      <w:pPr>
        <w:ind w:left="79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59" w15:restartNumberingAfterBreak="0">
    <w:nsid w:val="4D8D6F44"/>
    <w:multiLevelType w:val="hybridMultilevel"/>
    <w:tmpl w:val="87CE8E68"/>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60" w15:restartNumberingAfterBreak="0">
    <w:nsid w:val="4DAB693F"/>
    <w:multiLevelType w:val="hybridMultilevel"/>
    <w:tmpl w:val="CDA81C90"/>
    <w:styleLink w:val="1111112"/>
    <w:lvl w:ilvl="0" w:tplc="04020005">
      <w:start w:val="1"/>
      <w:numFmt w:val="bullet"/>
      <w:lvlText w:val=""/>
      <w:lvlJc w:val="left"/>
      <w:pPr>
        <w:tabs>
          <w:tab w:val="num" w:pos="720"/>
        </w:tabs>
        <w:ind w:left="720" w:hanging="360"/>
      </w:pPr>
      <w:rPr>
        <w:rFonts w:ascii="Wingdings" w:hAnsi="Wingdings" w:hint="default"/>
      </w:rPr>
    </w:lvl>
    <w:lvl w:ilvl="1" w:tplc="04020003" w:tentative="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DF5764C"/>
    <w:multiLevelType w:val="hybridMultilevel"/>
    <w:tmpl w:val="01E4FE26"/>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62" w15:restartNumberingAfterBreak="0">
    <w:nsid w:val="4EF318C7"/>
    <w:multiLevelType w:val="multilevel"/>
    <w:tmpl w:val="28C20466"/>
    <w:lvl w:ilvl="0">
      <w:start w:val="1"/>
      <w:numFmt w:val="decimal"/>
      <w:lvlText w:val="%1."/>
      <w:lvlJc w:val="left"/>
      <w:pPr>
        <w:ind w:left="360" w:hanging="360"/>
      </w:pPr>
      <w:rPr>
        <w:rFonts w:hint="default"/>
        <w:b/>
        <w:i w:val="0"/>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4FCF74A0"/>
    <w:multiLevelType w:val="multilevel"/>
    <w:tmpl w:val="6FA8E234"/>
    <w:lvl w:ilvl="0">
      <w:start w:val="1"/>
      <w:numFmt w:val="decimal"/>
      <w:lvlText w:val="%1"/>
      <w:lvlJc w:val="left"/>
      <w:pPr>
        <w:tabs>
          <w:tab w:val="num" w:pos="432"/>
        </w:tabs>
        <w:ind w:left="432" w:hanging="432"/>
      </w:pPr>
      <w:rPr>
        <w:rFonts w:cs="Times New Roman"/>
        <w:sz w:val="32"/>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pStyle w:val="Heading6"/>
      <w:lvlText w:val="%1.%2.%3.%4.%5.%6"/>
      <w:lvlJc w:val="left"/>
      <w:pPr>
        <w:tabs>
          <w:tab w:val="num" w:pos="1152"/>
        </w:tabs>
        <w:ind w:left="1152" w:hanging="1152"/>
      </w:pPr>
      <w:rPr>
        <w:rFonts w:cs="Times New Roman"/>
      </w:rPr>
    </w:lvl>
    <w:lvl w:ilvl="6">
      <w:start w:val="1"/>
      <w:numFmt w:val="decimal"/>
      <w:pStyle w:val="Heading7"/>
      <w:lvlText w:val="%1.%2.%3.%4.%5.%6.%7"/>
      <w:lvlJc w:val="left"/>
      <w:pPr>
        <w:tabs>
          <w:tab w:val="num" w:pos="1296"/>
        </w:tabs>
        <w:ind w:left="1296" w:hanging="1296"/>
      </w:pPr>
      <w:rPr>
        <w:rFonts w:cs="Times New Roman"/>
      </w:rPr>
    </w:lvl>
    <w:lvl w:ilvl="7">
      <w:start w:val="1"/>
      <w:numFmt w:val="decimal"/>
      <w:pStyle w:val="Heading8"/>
      <w:lvlText w:val="%1.%2.%3.%4.%5.%6.%7.%8"/>
      <w:lvlJc w:val="left"/>
      <w:pPr>
        <w:tabs>
          <w:tab w:val="num" w:pos="1440"/>
        </w:tabs>
        <w:ind w:left="1440" w:hanging="1440"/>
      </w:pPr>
      <w:rPr>
        <w:rFonts w:cs="Times New Roman"/>
      </w:rPr>
    </w:lvl>
    <w:lvl w:ilvl="8">
      <w:start w:val="1"/>
      <w:numFmt w:val="decimal"/>
      <w:pStyle w:val="Heading9"/>
      <w:lvlText w:val="%1.%2.%3.%4.%5.%6.%7.%8.%9"/>
      <w:lvlJc w:val="left"/>
      <w:pPr>
        <w:tabs>
          <w:tab w:val="num" w:pos="1584"/>
        </w:tabs>
        <w:ind w:left="1584" w:hanging="1584"/>
      </w:pPr>
      <w:rPr>
        <w:rFonts w:cs="Times New Roman"/>
      </w:rPr>
    </w:lvl>
  </w:abstractNum>
  <w:abstractNum w:abstractNumId="64" w15:restartNumberingAfterBreak="0">
    <w:nsid w:val="50366C7D"/>
    <w:multiLevelType w:val="multilevel"/>
    <w:tmpl w:val="0409001F"/>
    <w:styleLink w:val="111111"/>
    <w:lvl w:ilvl="0">
      <w:start w:val="3"/>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65" w15:restartNumberingAfterBreak="0">
    <w:nsid w:val="527C1DB7"/>
    <w:multiLevelType w:val="hybridMultilevel"/>
    <w:tmpl w:val="EDB27BB8"/>
    <w:lvl w:ilvl="0" w:tplc="C0ECD01E">
      <w:start w:val="1"/>
      <w:numFmt w:val="decimal"/>
      <w:lvlText w:val="%1)"/>
      <w:lvlJc w:val="left"/>
      <w:pPr>
        <w:ind w:left="1571" w:hanging="360"/>
      </w:pPr>
      <w:rPr>
        <w:b/>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66" w15:restartNumberingAfterBreak="0">
    <w:nsid w:val="537E4434"/>
    <w:multiLevelType w:val="multilevel"/>
    <w:tmpl w:val="6226A5A0"/>
    <w:lvl w:ilvl="0">
      <w:start w:val="1"/>
      <w:numFmt w:val="decimal"/>
      <w:lvlText w:val="%1."/>
      <w:lvlJc w:val="left"/>
      <w:pPr>
        <w:ind w:left="360" w:hanging="360"/>
      </w:pPr>
      <w:rPr>
        <w:rFonts w:hint="default"/>
      </w:rPr>
    </w:lvl>
    <w:lvl w:ilvl="1">
      <w:start w:val="1"/>
      <w:numFmt w:val="decimal"/>
      <w:lvlText w:val="%2.%1)"/>
      <w:lvlJc w:val="left"/>
      <w:pPr>
        <w:ind w:left="792" w:hanging="432"/>
      </w:pPr>
      <w:rPr>
        <w:rFonts w:cs="Times New Roman" w:hint="default"/>
        <w:b/>
        <w:i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54533A56"/>
    <w:multiLevelType w:val="hybridMultilevel"/>
    <w:tmpl w:val="507E7BDE"/>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68" w15:restartNumberingAfterBreak="0">
    <w:nsid w:val="547A06C8"/>
    <w:multiLevelType w:val="hybridMultilevel"/>
    <w:tmpl w:val="A2E6BBBA"/>
    <w:lvl w:ilvl="0" w:tplc="70C23F5A">
      <w:start w:val="1"/>
      <w:numFmt w:val="decimal"/>
      <w:lvlText w:val="%1)"/>
      <w:lvlJc w:val="left"/>
      <w:pPr>
        <w:ind w:left="1571" w:hanging="360"/>
      </w:pPr>
      <w:rPr>
        <w:b/>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69" w15:restartNumberingAfterBreak="0">
    <w:nsid w:val="54905A4E"/>
    <w:multiLevelType w:val="hybridMultilevel"/>
    <w:tmpl w:val="C1B0137E"/>
    <w:lvl w:ilvl="0" w:tplc="04020011">
      <w:start w:val="1"/>
      <w:numFmt w:val="decimal"/>
      <w:lvlText w:val="%1)"/>
      <w:lvlJc w:val="left"/>
      <w:pPr>
        <w:ind w:left="1571" w:hanging="360"/>
      </w:pPr>
      <w:rPr>
        <w:rFonts w:cs="Times New Roman"/>
      </w:rPr>
    </w:lvl>
    <w:lvl w:ilvl="1" w:tplc="04020019" w:tentative="1">
      <w:start w:val="1"/>
      <w:numFmt w:val="lowerLetter"/>
      <w:lvlText w:val="%2."/>
      <w:lvlJc w:val="left"/>
      <w:pPr>
        <w:ind w:left="2291" w:hanging="360"/>
      </w:pPr>
      <w:rPr>
        <w:rFonts w:cs="Times New Roman"/>
      </w:rPr>
    </w:lvl>
    <w:lvl w:ilvl="2" w:tplc="0402001B" w:tentative="1">
      <w:start w:val="1"/>
      <w:numFmt w:val="lowerRoman"/>
      <w:lvlText w:val="%3."/>
      <w:lvlJc w:val="right"/>
      <w:pPr>
        <w:ind w:left="3011" w:hanging="180"/>
      </w:pPr>
      <w:rPr>
        <w:rFonts w:cs="Times New Roman"/>
      </w:rPr>
    </w:lvl>
    <w:lvl w:ilvl="3" w:tplc="0402000F" w:tentative="1">
      <w:start w:val="1"/>
      <w:numFmt w:val="decimal"/>
      <w:lvlText w:val="%4."/>
      <w:lvlJc w:val="left"/>
      <w:pPr>
        <w:ind w:left="3731" w:hanging="360"/>
      </w:pPr>
      <w:rPr>
        <w:rFonts w:cs="Times New Roman"/>
      </w:rPr>
    </w:lvl>
    <w:lvl w:ilvl="4" w:tplc="04020019" w:tentative="1">
      <w:start w:val="1"/>
      <w:numFmt w:val="lowerLetter"/>
      <w:lvlText w:val="%5."/>
      <w:lvlJc w:val="left"/>
      <w:pPr>
        <w:ind w:left="4451" w:hanging="360"/>
      </w:pPr>
      <w:rPr>
        <w:rFonts w:cs="Times New Roman"/>
      </w:rPr>
    </w:lvl>
    <w:lvl w:ilvl="5" w:tplc="0402001B" w:tentative="1">
      <w:start w:val="1"/>
      <w:numFmt w:val="lowerRoman"/>
      <w:lvlText w:val="%6."/>
      <w:lvlJc w:val="right"/>
      <w:pPr>
        <w:ind w:left="5171" w:hanging="180"/>
      </w:pPr>
      <w:rPr>
        <w:rFonts w:cs="Times New Roman"/>
      </w:rPr>
    </w:lvl>
    <w:lvl w:ilvl="6" w:tplc="0402000F" w:tentative="1">
      <w:start w:val="1"/>
      <w:numFmt w:val="decimal"/>
      <w:lvlText w:val="%7."/>
      <w:lvlJc w:val="left"/>
      <w:pPr>
        <w:ind w:left="5891" w:hanging="360"/>
      </w:pPr>
      <w:rPr>
        <w:rFonts w:cs="Times New Roman"/>
      </w:rPr>
    </w:lvl>
    <w:lvl w:ilvl="7" w:tplc="04020019" w:tentative="1">
      <w:start w:val="1"/>
      <w:numFmt w:val="lowerLetter"/>
      <w:lvlText w:val="%8."/>
      <w:lvlJc w:val="left"/>
      <w:pPr>
        <w:ind w:left="6611" w:hanging="360"/>
      </w:pPr>
      <w:rPr>
        <w:rFonts w:cs="Times New Roman"/>
      </w:rPr>
    </w:lvl>
    <w:lvl w:ilvl="8" w:tplc="0402001B" w:tentative="1">
      <w:start w:val="1"/>
      <w:numFmt w:val="lowerRoman"/>
      <w:lvlText w:val="%9."/>
      <w:lvlJc w:val="right"/>
      <w:pPr>
        <w:ind w:left="7331" w:hanging="180"/>
      </w:pPr>
      <w:rPr>
        <w:rFonts w:cs="Times New Roman"/>
      </w:rPr>
    </w:lvl>
  </w:abstractNum>
  <w:abstractNum w:abstractNumId="70" w15:restartNumberingAfterBreak="0">
    <w:nsid w:val="58975C54"/>
    <w:multiLevelType w:val="hybridMultilevel"/>
    <w:tmpl w:val="8F6EEBB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A0374FE"/>
    <w:multiLevelType w:val="hybridMultilevel"/>
    <w:tmpl w:val="064E3FBC"/>
    <w:lvl w:ilvl="0" w:tplc="6BEEEDE6">
      <w:start w:val="1"/>
      <w:numFmt w:val="decimal"/>
      <w:lvlText w:val="%1)"/>
      <w:lvlJc w:val="left"/>
      <w:pPr>
        <w:ind w:left="1070"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72" w15:restartNumberingAfterBreak="0">
    <w:nsid w:val="5BF75E07"/>
    <w:multiLevelType w:val="hybridMultilevel"/>
    <w:tmpl w:val="1B563BBA"/>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73" w15:restartNumberingAfterBreak="0">
    <w:nsid w:val="5CC37365"/>
    <w:multiLevelType w:val="hybridMultilevel"/>
    <w:tmpl w:val="7F882A70"/>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74" w15:restartNumberingAfterBreak="0">
    <w:nsid w:val="5CE32EEF"/>
    <w:multiLevelType w:val="hybridMultilevel"/>
    <w:tmpl w:val="8E8E5A4C"/>
    <w:lvl w:ilvl="0" w:tplc="04020001">
      <w:start w:val="1"/>
      <w:numFmt w:val="bullet"/>
      <w:pStyle w:val="PMnumeric"/>
      <w:lvlText w:val=""/>
      <w:lvlJc w:val="left"/>
      <w:pPr>
        <w:ind w:left="3130" w:hanging="360"/>
      </w:pPr>
      <w:rPr>
        <w:rFonts w:ascii="Symbol" w:hAnsi="Symbol" w:hint="default"/>
      </w:rPr>
    </w:lvl>
    <w:lvl w:ilvl="1" w:tplc="04020003" w:tentative="1">
      <w:start w:val="1"/>
      <w:numFmt w:val="bullet"/>
      <w:lvlText w:val="o"/>
      <w:lvlJc w:val="left"/>
      <w:pPr>
        <w:ind w:left="3850" w:hanging="360"/>
      </w:pPr>
      <w:rPr>
        <w:rFonts w:ascii="Courier New" w:hAnsi="Courier New" w:hint="default"/>
      </w:rPr>
    </w:lvl>
    <w:lvl w:ilvl="2" w:tplc="04020005" w:tentative="1">
      <w:start w:val="1"/>
      <w:numFmt w:val="bullet"/>
      <w:lvlText w:val=""/>
      <w:lvlJc w:val="left"/>
      <w:pPr>
        <w:ind w:left="4570" w:hanging="360"/>
      </w:pPr>
      <w:rPr>
        <w:rFonts w:ascii="Wingdings" w:hAnsi="Wingdings" w:hint="default"/>
      </w:rPr>
    </w:lvl>
    <w:lvl w:ilvl="3" w:tplc="04020001" w:tentative="1">
      <w:start w:val="1"/>
      <w:numFmt w:val="bullet"/>
      <w:lvlText w:val=""/>
      <w:lvlJc w:val="left"/>
      <w:pPr>
        <w:ind w:left="5290" w:hanging="360"/>
      </w:pPr>
      <w:rPr>
        <w:rFonts w:ascii="Symbol" w:hAnsi="Symbol" w:hint="default"/>
      </w:rPr>
    </w:lvl>
    <w:lvl w:ilvl="4" w:tplc="04020003" w:tentative="1">
      <w:start w:val="1"/>
      <w:numFmt w:val="bullet"/>
      <w:lvlText w:val="o"/>
      <w:lvlJc w:val="left"/>
      <w:pPr>
        <w:ind w:left="6010" w:hanging="360"/>
      </w:pPr>
      <w:rPr>
        <w:rFonts w:ascii="Courier New" w:hAnsi="Courier New" w:hint="default"/>
      </w:rPr>
    </w:lvl>
    <w:lvl w:ilvl="5" w:tplc="04020005" w:tentative="1">
      <w:start w:val="1"/>
      <w:numFmt w:val="bullet"/>
      <w:lvlText w:val=""/>
      <w:lvlJc w:val="left"/>
      <w:pPr>
        <w:ind w:left="6730" w:hanging="360"/>
      </w:pPr>
      <w:rPr>
        <w:rFonts w:ascii="Wingdings" w:hAnsi="Wingdings" w:hint="default"/>
      </w:rPr>
    </w:lvl>
    <w:lvl w:ilvl="6" w:tplc="04020001" w:tentative="1">
      <w:start w:val="1"/>
      <w:numFmt w:val="bullet"/>
      <w:lvlText w:val=""/>
      <w:lvlJc w:val="left"/>
      <w:pPr>
        <w:ind w:left="7450" w:hanging="360"/>
      </w:pPr>
      <w:rPr>
        <w:rFonts w:ascii="Symbol" w:hAnsi="Symbol" w:hint="default"/>
      </w:rPr>
    </w:lvl>
    <w:lvl w:ilvl="7" w:tplc="04020003" w:tentative="1">
      <w:start w:val="1"/>
      <w:numFmt w:val="bullet"/>
      <w:lvlText w:val="o"/>
      <w:lvlJc w:val="left"/>
      <w:pPr>
        <w:ind w:left="8170" w:hanging="360"/>
      </w:pPr>
      <w:rPr>
        <w:rFonts w:ascii="Courier New" w:hAnsi="Courier New" w:hint="default"/>
      </w:rPr>
    </w:lvl>
    <w:lvl w:ilvl="8" w:tplc="04020005" w:tentative="1">
      <w:start w:val="1"/>
      <w:numFmt w:val="bullet"/>
      <w:lvlText w:val=""/>
      <w:lvlJc w:val="left"/>
      <w:pPr>
        <w:ind w:left="8890" w:hanging="360"/>
      </w:pPr>
      <w:rPr>
        <w:rFonts w:ascii="Wingdings" w:hAnsi="Wingdings" w:hint="default"/>
      </w:rPr>
    </w:lvl>
  </w:abstractNum>
  <w:abstractNum w:abstractNumId="75" w15:restartNumberingAfterBreak="0">
    <w:nsid w:val="5E372542"/>
    <w:multiLevelType w:val="hybridMultilevel"/>
    <w:tmpl w:val="158E671E"/>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76" w15:restartNumberingAfterBreak="0">
    <w:nsid w:val="5F03464B"/>
    <w:multiLevelType w:val="hybridMultilevel"/>
    <w:tmpl w:val="FDF674DA"/>
    <w:lvl w:ilvl="0" w:tplc="0402000F">
      <w:start w:val="1"/>
      <w:numFmt w:val="decimal"/>
      <w:lvlText w:val="%1."/>
      <w:lvlJc w:val="left"/>
      <w:pPr>
        <w:ind w:left="1571" w:hanging="360"/>
      </w:pPr>
    </w:lvl>
    <w:lvl w:ilvl="1" w:tplc="0402000F">
      <w:start w:val="1"/>
      <w:numFmt w:val="decimal"/>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77" w15:restartNumberingAfterBreak="0">
    <w:nsid w:val="605A21C4"/>
    <w:multiLevelType w:val="hybridMultilevel"/>
    <w:tmpl w:val="3A1CAAA4"/>
    <w:lvl w:ilvl="0" w:tplc="0402000D">
      <w:start w:val="1"/>
      <w:numFmt w:val="bullet"/>
      <w:lvlText w:val=""/>
      <w:lvlJc w:val="left"/>
      <w:pPr>
        <w:ind w:left="1571" w:hanging="360"/>
      </w:pPr>
      <w:rPr>
        <w:rFonts w:ascii="Wingdings" w:hAnsi="Wingdings"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78" w15:restartNumberingAfterBreak="0">
    <w:nsid w:val="609B56AE"/>
    <w:multiLevelType w:val="hybridMultilevel"/>
    <w:tmpl w:val="4476D7D8"/>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79" w15:restartNumberingAfterBreak="0">
    <w:nsid w:val="60D4604C"/>
    <w:multiLevelType w:val="hybridMultilevel"/>
    <w:tmpl w:val="B74EC874"/>
    <w:lvl w:ilvl="0" w:tplc="6BEEEDE6">
      <w:start w:val="1"/>
      <w:numFmt w:val="decimal"/>
      <w:lvlText w:val="%1)"/>
      <w:lvlJc w:val="left"/>
      <w:pPr>
        <w:tabs>
          <w:tab w:val="num" w:pos="1495"/>
        </w:tabs>
        <w:ind w:left="1495" w:hanging="360"/>
      </w:pPr>
      <w:rPr>
        <w:rFonts w:cs="Times New Roman"/>
        <w:b/>
        <w:i w:val="0"/>
      </w:rPr>
    </w:lvl>
    <w:lvl w:ilvl="1" w:tplc="CBD8CA52">
      <w:start w:val="1"/>
      <w:numFmt w:val="decimal"/>
      <w:lvlText w:val="%2."/>
      <w:lvlJc w:val="left"/>
      <w:pPr>
        <w:tabs>
          <w:tab w:val="num" w:pos="1440"/>
        </w:tabs>
        <w:ind w:left="1440" w:hanging="360"/>
      </w:pPr>
      <w:rPr>
        <w:rFonts w:cs="Times New Roman" w:hint="default"/>
      </w:rPr>
    </w:lvl>
    <w:lvl w:ilvl="2" w:tplc="0402001B">
      <w:start w:val="1"/>
      <w:numFmt w:val="lowerRoman"/>
      <w:lvlText w:val="%3."/>
      <w:lvlJc w:val="right"/>
      <w:pPr>
        <w:tabs>
          <w:tab w:val="num" w:pos="2160"/>
        </w:tabs>
        <w:ind w:left="2160" w:hanging="180"/>
      </w:pPr>
      <w:rPr>
        <w:rFonts w:cs="Times New Roman"/>
      </w:rPr>
    </w:lvl>
    <w:lvl w:ilvl="3" w:tplc="0402000F" w:tentative="1">
      <w:start w:val="1"/>
      <w:numFmt w:val="decimal"/>
      <w:lvlText w:val="%4."/>
      <w:lvlJc w:val="left"/>
      <w:pPr>
        <w:tabs>
          <w:tab w:val="num" w:pos="2880"/>
        </w:tabs>
        <w:ind w:left="2880" w:hanging="360"/>
      </w:pPr>
      <w:rPr>
        <w:rFonts w:cs="Times New Roman"/>
      </w:rPr>
    </w:lvl>
    <w:lvl w:ilvl="4" w:tplc="04020019" w:tentative="1">
      <w:start w:val="1"/>
      <w:numFmt w:val="lowerLetter"/>
      <w:lvlText w:val="%5."/>
      <w:lvlJc w:val="left"/>
      <w:pPr>
        <w:tabs>
          <w:tab w:val="num" w:pos="3600"/>
        </w:tabs>
        <w:ind w:left="3600" w:hanging="360"/>
      </w:pPr>
      <w:rPr>
        <w:rFonts w:cs="Times New Roman"/>
      </w:rPr>
    </w:lvl>
    <w:lvl w:ilvl="5" w:tplc="0402001B" w:tentative="1">
      <w:start w:val="1"/>
      <w:numFmt w:val="lowerRoman"/>
      <w:lvlText w:val="%6."/>
      <w:lvlJc w:val="right"/>
      <w:pPr>
        <w:tabs>
          <w:tab w:val="num" w:pos="4320"/>
        </w:tabs>
        <w:ind w:left="4320" w:hanging="180"/>
      </w:pPr>
      <w:rPr>
        <w:rFonts w:cs="Times New Roman"/>
      </w:rPr>
    </w:lvl>
    <w:lvl w:ilvl="6" w:tplc="0402000F" w:tentative="1">
      <w:start w:val="1"/>
      <w:numFmt w:val="decimal"/>
      <w:lvlText w:val="%7."/>
      <w:lvlJc w:val="left"/>
      <w:pPr>
        <w:tabs>
          <w:tab w:val="num" w:pos="5040"/>
        </w:tabs>
        <w:ind w:left="5040" w:hanging="360"/>
      </w:pPr>
      <w:rPr>
        <w:rFonts w:cs="Times New Roman"/>
      </w:rPr>
    </w:lvl>
    <w:lvl w:ilvl="7" w:tplc="04020019" w:tentative="1">
      <w:start w:val="1"/>
      <w:numFmt w:val="lowerLetter"/>
      <w:lvlText w:val="%8."/>
      <w:lvlJc w:val="left"/>
      <w:pPr>
        <w:tabs>
          <w:tab w:val="num" w:pos="5760"/>
        </w:tabs>
        <w:ind w:left="5760" w:hanging="360"/>
      </w:pPr>
      <w:rPr>
        <w:rFonts w:cs="Times New Roman"/>
      </w:rPr>
    </w:lvl>
    <w:lvl w:ilvl="8" w:tplc="0402001B" w:tentative="1">
      <w:start w:val="1"/>
      <w:numFmt w:val="lowerRoman"/>
      <w:lvlText w:val="%9."/>
      <w:lvlJc w:val="right"/>
      <w:pPr>
        <w:tabs>
          <w:tab w:val="num" w:pos="6480"/>
        </w:tabs>
        <w:ind w:left="6480" w:hanging="180"/>
      </w:pPr>
      <w:rPr>
        <w:rFonts w:cs="Times New Roman"/>
      </w:rPr>
    </w:lvl>
  </w:abstractNum>
  <w:abstractNum w:abstractNumId="80" w15:restartNumberingAfterBreak="0">
    <w:nsid w:val="62AA592E"/>
    <w:multiLevelType w:val="hybridMultilevel"/>
    <w:tmpl w:val="82322BA2"/>
    <w:lvl w:ilvl="0" w:tplc="C7A46E9A">
      <w:start w:val="1"/>
      <w:numFmt w:val="decimal"/>
      <w:lvlText w:val="4.%1."/>
      <w:lvlJc w:val="left"/>
      <w:pPr>
        <w:tabs>
          <w:tab w:val="num" w:pos="660"/>
        </w:tabs>
        <w:ind w:left="660" w:hanging="360"/>
      </w:pPr>
      <w:rPr>
        <w:rFonts w:cs="Times New Roman" w:hint="default"/>
        <w:b/>
      </w:rPr>
    </w:lvl>
    <w:lvl w:ilvl="1" w:tplc="04020001">
      <w:start w:val="1"/>
      <w:numFmt w:val="bullet"/>
      <w:lvlText w:val=""/>
      <w:lvlJc w:val="left"/>
      <w:pPr>
        <w:tabs>
          <w:tab w:val="num" w:pos="1440"/>
        </w:tabs>
        <w:ind w:left="1440" w:hanging="360"/>
      </w:pPr>
      <w:rPr>
        <w:rFonts w:ascii="Symbol" w:hAnsi="Symbol" w:hint="default"/>
      </w:rPr>
    </w:lvl>
    <w:lvl w:ilvl="2" w:tplc="04020001">
      <w:start w:val="1"/>
      <w:numFmt w:val="bullet"/>
      <w:lvlText w:val=""/>
      <w:lvlJc w:val="left"/>
      <w:pPr>
        <w:tabs>
          <w:tab w:val="num" w:pos="2340"/>
        </w:tabs>
        <w:ind w:left="2340" w:hanging="360"/>
      </w:pPr>
      <w:rPr>
        <w:rFonts w:ascii="Symbol" w:hAnsi="Symbol" w:hint="default"/>
        <w:b/>
      </w:rPr>
    </w:lvl>
    <w:lvl w:ilvl="3" w:tplc="40C6637A">
      <w:start w:val="1"/>
      <w:numFmt w:val="decimal"/>
      <w:lvlText w:val="%4)"/>
      <w:lvlJc w:val="left"/>
      <w:pPr>
        <w:ind w:left="2895" w:hanging="375"/>
      </w:pPr>
      <w:rPr>
        <w:rFonts w:cs="Times New Roman" w:hint="default"/>
        <w:b/>
      </w:rPr>
    </w:lvl>
    <w:lvl w:ilvl="4" w:tplc="3F1EAB74">
      <w:start w:val="36"/>
      <w:numFmt w:val="decimal"/>
      <w:lvlText w:val="%5."/>
      <w:lvlJc w:val="left"/>
      <w:pPr>
        <w:ind w:left="3600" w:hanging="360"/>
      </w:pPr>
      <w:rPr>
        <w:rFonts w:hint="default"/>
      </w:rPr>
    </w:lvl>
    <w:lvl w:ilvl="5" w:tplc="0402001B" w:tentative="1">
      <w:start w:val="1"/>
      <w:numFmt w:val="lowerRoman"/>
      <w:lvlText w:val="%6."/>
      <w:lvlJc w:val="right"/>
      <w:pPr>
        <w:tabs>
          <w:tab w:val="num" w:pos="4320"/>
        </w:tabs>
        <w:ind w:left="4320" w:hanging="180"/>
      </w:pPr>
      <w:rPr>
        <w:rFonts w:cs="Times New Roman"/>
      </w:rPr>
    </w:lvl>
    <w:lvl w:ilvl="6" w:tplc="0402000F" w:tentative="1">
      <w:start w:val="1"/>
      <w:numFmt w:val="decimal"/>
      <w:lvlText w:val="%7."/>
      <w:lvlJc w:val="left"/>
      <w:pPr>
        <w:tabs>
          <w:tab w:val="num" w:pos="5040"/>
        </w:tabs>
        <w:ind w:left="5040" w:hanging="360"/>
      </w:pPr>
      <w:rPr>
        <w:rFonts w:cs="Times New Roman"/>
      </w:rPr>
    </w:lvl>
    <w:lvl w:ilvl="7" w:tplc="04020019" w:tentative="1">
      <w:start w:val="1"/>
      <w:numFmt w:val="lowerLetter"/>
      <w:lvlText w:val="%8."/>
      <w:lvlJc w:val="left"/>
      <w:pPr>
        <w:tabs>
          <w:tab w:val="num" w:pos="5760"/>
        </w:tabs>
        <w:ind w:left="5760" w:hanging="360"/>
      </w:pPr>
      <w:rPr>
        <w:rFonts w:cs="Times New Roman"/>
      </w:rPr>
    </w:lvl>
    <w:lvl w:ilvl="8" w:tplc="0402001B" w:tentative="1">
      <w:start w:val="1"/>
      <w:numFmt w:val="lowerRoman"/>
      <w:lvlText w:val="%9."/>
      <w:lvlJc w:val="right"/>
      <w:pPr>
        <w:tabs>
          <w:tab w:val="num" w:pos="6480"/>
        </w:tabs>
        <w:ind w:left="6480" w:hanging="180"/>
      </w:pPr>
      <w:rPr>
        <w:rFonts w:cs="Times New Roman"/>
      </w:rPr>
    </w:lvl>
  </w:abstractNum>
  <w:abstractNum w:abstractNumId="81" w15:restartNumberingAfterBreak="0">
    <w:nsid w:val="6405723E"/>
    <w:multiLevelType w:val="hybridMultilevel"/>
    <w:tmpl w:val="0720D8F8"/>
    <w:lvl w:ilvl="0" w:tplc="0402000F">
      <w:start w:val="1"/>
      <w:numFmt w:val="decimal"/>
      <w:lvlText w:val="%1."/>
      <w:lvlJc w:val="left"/>
      <w:pPr>
        <w:ind w:left="1571" w:hanging="360"/>
      </w:p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82" w15:restartNumberingAfterBreak="0">
    <w:nsid w:val="64527A48"/>
    <w:multiLevelType w:val="hybridMultilevel"/>
    <w:tmpl w:val="E5F8D9FA"/>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83" w15:restartNumberingAfterBreak="0">
    <w:nsid w:val="6714439D"/>
    <w:multiLevelType w:val="hybridMultilevel"/>
    <w:tmpl w:val="1BBEAE68"/>
    <w:lvl w:ilvl="0" w:tplc="2EC232BE">
      <w:start w:val="1"/>
      <w:numFmt w:val="bullet"/>
      <w:lvlText w:val="-"/>
      <w:lvlJc w:val="left"/>
      <w:pPr>
        <w:ind w:left="1571" w:hanging="360"/>
      </w:pPr>
      <w:rPr>
        <w:rFonts w:ascii="Times New Roman" w:hAnsi="Times New Roman" w:cs="Times New Roman"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84" w15:restartNumberingAfterBreak="0">
    <w:nsid w:val="69750145"/>
    <w:multiLevelType w:val="hybridMultilevel"/>
    <w:tmpl w:val="C8D41A4E"/>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85" w15:restartNumberingAfterBreak="0">
    <w:nsid w:val="6A2F53CC"/>
    <w:multiLevelType w:val="hybridMultilevel"/>
    <w:tmpl w:val="26B2FECE"/>
    <w:lvl w:ilvl="0" w:tplc="04020011">
      <w:start w:val="1"/>
      <w:numFmt w:val="decimal"/>
      <w:lvlText w:val="%1)"/>
      <w:lvlJc w:val="left"/>
      <w:pPr>
        <w:ind w:left="4046" w:hanging="360"/>
      </w:p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86" w15:restartNumberingAfterBreak="0">
    <w:nsid w:val="6A580C6F"/>
    <w:multiLevelType w:val="hybridMultilevel"/>
    <w:tmpl w:val="B72CA33E"/>
    <w:lvl w:ilvl="0" w:tplc="04020001">
      <w:start w:val="1"/>
      <w:numFmt w:val="bullet"/>
      <w:pStyle w:val="OPACbullet"/>
      <w:lvlText w:val=""/>
      <w:lvlJc w:val="left"/>
      <w:pPr>
        <w:tabs>
          <w:tab w:val="num" w:pos="1134"/>
        </w:tabs>
        <w:ind w:firstLine="851"/>
      </w:pPr>
      <w:rPr>
        <w:rFonts w:ascii="Symbol" w:hAnsi="Symbol" w:hint="default"/>
        <w:color w:val="auto"/>
        <w:sz w:val="20"/>
      </w:rPr>
    </w:lvl>
    <w:lvl w:ilvl="1" w:tplc="04020003">
      <w:start w:val="1"/>
      <w:numFmt w:val="bullet"/>
      <w:lvlText w:val=""/>
      <w:lvlJc w:val="left"/>
      <w:pPr>
        <w:tabs>
          <w:tab w:val="num" w:pos="360"/>
        </w:tabs>
        <w:ind w:left="360" w:hanging="360"/>
      </w:pPr>
      <w:rPr>
        <w:rFonts w:ascii="Symbol" w:hAnsi="Symbol" w:hint="default"/>
        <w:color w:val="auto"/>
        <w:sz w:val="20"/>
      </w:rPr>
    </w:lvl>
    <w:lvl w:ilvl="2" w:tplc="04020005">
      <w:start w:val="1"/>
      <w:numFmt w:val="bullet"/>
      <w:lvlText w:val=""/>
      <w:lvlJc w:val="left"/>
      <w:pPr>
        <w:tabs>
          <w:tab w:val="num" w:pos="1080"/>
        </w:tabs>
        <w:ind w:left="1080" w:hanging="360"/>
      </w:pPr>
      <w:rPr>
        <w:rFonts w:ascii="Wingdings" w:hAnsi="Wingdings" w:hint="default"/>
      </w:rPr>
    </w:lvl>
    <w:lvl w:ilvl="3" w:tplc="04020001">
      <w:start w:val="1"/>
      <w:numFmt w:val="bullet"/>
      <w:lvlText w:val=""/>
      <w:lvlJc w:val="left"/>
      <w:pPr>
        <w:tabs>
          <w:tab w:val="num" w:pos="1797"/>
        </w:tabs>
        <w:ind w:left="1797" w:hanging="360"/>
      </w:pPr>
      <w:rPr>
        <w:rFonts w:ascii="Symbol" w:hAnsi="Symbol" w:hint="default"/>
        <w:color w:val="auto"/>
        <w:sz w:val="20"/>
      </w:rPr>
    </w:lvl>
    <w:lvl w:ilvl="4" w:tplc="04020003">
      <w:start w:val="1"/>
      <w:numFmt w:val="bullet"/>
      <w:lvlText w:val="o"/>
      <w:lvlJc w:val="left"/>
      <w:pPr>
        <w:tabs>
          <w:tab w:val="num" w:pos="2520"/>
        </w:tabs>
        <w:ind w:left="2520" w:hanging="360"/>
      </w:pPr>
      <w:rPr>
        <w:rFonts w:ascii="Courier New" w:hAnsi="Courier New" w:hint="default"/>
      </w:rPr>
    </w:lvl>
    <w:lvl w:ilvl="5" w:tplc="04020005">
      <w:numFmt w:val="bullet"/>
      <w:lvlText w:val="-"/>
      <w:lvlJc w:val="left"/>
      <w:pPr>
        <w:tabs>
          <w:tab w:val="num" w:pos="3435"/>
        </w:tabs>
        <w:ind w:left="3435" w:hanging="555"/>
      </w:pPr>
      <w:rPr>
        <w:rFonts w:ascii="Times New Roman" w:eastAsia="Times New Roman" w:hAnsi="Times New Roman" w:hint="default"/>
      </w:rPr>
    </w:lvl>
    <w:lvl w:ilvl="6" w:tplc="04020001" w:tentative="1">
      <w:start w:val="1"/>
      <w:numFmt w:val="bullet"/>
      <w:lvlText w:val=""/>
      <w:lvlJc w:val="left"/>
      <w:pPr>
        <w:tabs>
          <w:tab w:val="num" w:pos="3960"/>
        </w:tabs>
        <w:ind w:left="3960" w:hanging="360"/>
      </w:pPr>
      <w:rPr>
        <w:rFonts w:ascii="Symbol" w:hAnsi="Symbol" w:hint="default"/>
      </w:rPr>
    </w:lvl>
    <w:lvl w:ilvl="7" w:tplc="04020003" w:tentative="1">
      <w:start w:val="1"/>
      <w:numFmt w:val="bullet"/>
      <w:lvlText w:val="o"/>
      <w:lvlJc w:val="left"/>
      <w:pPr>
        <w:tabs>
          <w:tab w:val="num" w:pos="4680"/>
        </w:tabs>
        <w:ind w:left="4680" w:hanging="360"/>
      </w:pPr>
      <w:rPr>
        <w:rFonts w:ascii="Courier New" w:hAnsi="Courier New" w:hint="default"/>
      </w:rPr>
    </w:lvl>
    <w:lvl w:ilvl="8" w:tplc="04020005" w:tentative="1">
      <w:start w:val="1"/>
      <w:numFmt w:val="bullet"/>
      <w:lvlText w:val=""/>
      <w:lvlJc w:val="left"/>
      <w:pPr>
        <w:tabs>
          <w:tab w:val="num" w:pos="5400"/>
        </w:tabs>
        <w:ind w:left="5400" w:hanging="360"/>
      </w:pPr>
      <w:rPr>
        <w:rFonts w:ascii="Wingdings" w:hAnsi="Wingdings" w:hint="default"/>
      </w:rPr>
    </w:lvl>
  </w:abstractNum>
  <w:abstractNum w:abstractNumId="87" w15:restartNumberingAfterBreak="0">
    <w:nsid w:val="6BA1416A"/>
    <w:multiLevelType w:val="hybridMultilevel"/>
    <w:tmpl w:val="8660BBC6"/>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6BB247C4"/>
    <w:multiLevelType w:val="hybridMultilevel"/>
    <w:tmpl w:val="39389562"/>
    <w:lvl w:ilvl="0" w:tplc="7520C74A">
      <w:start w:val="1"/>
      <w:numFmt w:val="decimal"/>
      <w:lvlText w:val="%1)"/>
      <w:lvlJc w:val="left"/>
      <w:pPr>
        <w:ind w:left="1571" w:hanging="360"/>
      </w:pPr>
      <w:rPr>
        <w:b/>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89" w15:restartNumberingAfterBreak="0">
    <w:nsid w:val="6C1824AB"/>
    <w:multiLevelType w:val="hybridMultilevel"/>
    <w:tmpl w:val="C6A4068C"/>
    <w:lvl w:ilvl="0" w:tplc="0402000D">
      <w:start w:val="1"/>
      <w:numFmt w:val="bullet"/>
      <w:lvlText w:val=""/>
      <w:lvlJc w:val="left"/>
      <w:pPr>
        <w:ind w:left="1571" w:hanging="360"/>
      </w:pPr>
      <w:rPr>
        <w:rFonts w:ascii="Wingdings" w:hAnsi="Wingdings"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90" w15:restartNumberingAfterBreak="0">
    <w:nsid w:val="6CDA3642"/>
    <w:multiLevelType w:val="hybridMultilevel"/>
    <w:tmpl w:val="ACF26848"/>
    <w:lvl w:ilvl="0" w:tplc="1E668CDC">
      <w:start w:val="1"/>
      <w:numFmt w:val="lowerLetter"/>
      <w:lvlText w:val="%1)"/>
      <w:lvlJc w:val="left"/>
      <w:pPr>
        <w:ind w:left="1571" w:hanging="360"/>
      </w:pPr>
      <w:rPr>
        <w:b/>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91" w15:restartNumberingAfterBreak="0">
    <w:nsid w:val="6E296B20"/>
    <w:multiLevelType w:val="hybridMultilevel"/>
    <w:tmpl w:val="09A20106"/>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92" w15:restartNumberingAfterBreak="0">
    <w:nsid w:val="6FDF0562"/>
    <w:multiLevelType w:val="hybridMultilevel"/>
    <w:tmpl w:val="6540A976"/>
    <w:lvl w:ilvl="0" w:tplc="0402000F">
      <w:start w:val="1"/>
      <w:numFmt w:val="decimal"/>
      <w:lvlText w:val="%1."/>
      <w:lvlJc w:val="left"/>
      <w:pPr>
        <w:ind w:left="1571" w:hanging="360"/>
      </w:p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93" w15:restartNumberingAfterBreak="0">
    <w:nsid w:val="703E37C1"/>
    <w:multiLevelType w:val="hybridMultilevel"/>
    <w:tmpl w:val="99C4699A"/>
    <w:lvl w:ilvl="0" w:tplc="A4E8D270">
      <w:start w:val="1"/>
      <w:numFmt w:val="decimal"/>
      <w:lvlText w:val="%1)"/>
      <w:lvlJc w:val="left"/>
      <w:pPr>
        <w:ind w:left="7165" w:hanging="360"/>
      </w:pPr>
      <w:rPr>
        <w:rFonts w:cs="Times New Roman"/>
        <w:b/>
        <w:i w:val="0"/>
        <w:sz w:val="24"/>
        <w:szCs w:val="24"/>
      </w:rPr>
    </w:lvl>
    <w:lvl w:ilvl="1" w:tplc="04020019">
      <w:start w:val="1"/>
      <w:numFmt w:val="lowerLetter"/>
      <w:lvlText w:val="%2."/>
      <w:lvlJc w:val="left"/>
      <w:pPr>
        <w:ind w:left="7885" w:hanging="360"/>
      </w:pPr>
      <w:rPr>
        <w:rFonts w:cs="Times New Roman"/>
      </w:rPr>
    </w:lvl>
    <w:lvl w:ilvl="2" w:tplc="0402001B" w:tentative="1">
      <w:start w:val="1"/>
      <w:numFmt w:val="lowerRoman"/>
      <w:lvlText w:val="%3."/>
      <w:lvlJc w:val="right"/>
      <w:pPr>
        <w:ind w:left="8605" w:hanging="180"/>
      </w:pPr>
      <w:rPr>
        <w:rFonts w:cs="Times New Roman"/>
      </w:rPr>
    </w:lvl>
    <w:lvl w:ilvl="3" w:tplc="0402000F" w:tentative="1">
      <w:start w:val="1"/>
      <w:numFmt w:val="decimal"/>
      <w:lvlText w:val="%4."/>
      <w:lvlJc w:val="left"/>
      <w:pPr>
        <w:ind w:left="9325" w:hanging="360"/>
      </w:pPr>
      <w:rPr>
        <w:rFonts w:cs="Times New Roman"/>
      </w:rPr>
    </w:lvl>
    <w:lvl w:ilvl="4" w:tplc="04020019" w:tentative="1">
      <w:start w:val="1"/>
      <w:numFmt w:val="lowerLetter"/>
      <w:lvlText w:val="%5."/>
      <w:lvlJc w:val="left"/>
      <w:pPr>
        <w:ind w:left="10045" w:hanging="360"/>
      </w:pPr>
      <w:rPr>
        <w:rFonts w:cs="Times New Roman"/>
      </w:rPr>
    </w:lvl>
    <w:lvl w:ilvl="5" w:tplc="0402001B" w:tentative="1">
      <w:start w:val="1"/>
      <w:numFmt w:val="lowerRoman"/>
      <w:lvlText w:val="%6."/>
      <w:lvlJc w:val="right"/>
      <w:pPr>
        <w:ind w:left="10765" w:hanging="180"/>
      </w:pPr>
      <w:rPr>
        <w:rFonts w:cs="Times New Roman"/>
      </w:rPr>
    </w:lvl>
    <w:lvl w:ilvl="6" w:tplc="0402000F" w:tentative="1">
      <w:start w:val="1"/>
      <w:numFmt w:val="decimal"/>
      <w:lvlText w:val="%7."/>
      <w:lvlJc w:val="left"/>
      <w:pPr>
        <w:ind w:left="11485" w:hanging="360"/>
      </w:pPr>
      <w:rPr>
        <w:rFonts w:cs="Times New Roman"/>
      </w:rPr>
    </w:lvl>
    <w:lvl w:ilvl="7" w:tplc="04020019" w:tentative="1">
      <w:start w:val="1"/>
      <w:numFmt w:val="lowerLetter"/>
      <w:lvlText w:val="%8."/>
      <w:lvlJc w:val="left"/>
      <w:pPr>
        <w:ind w:left="12205" w:hanging="360"/>
      </w:pPr>
      <w:rPr>
        <w:rFonts w:cs="Times New Roman"/>
      </w:rPr>
    </w:lvl>
    <w:lvl w:ilvl="8" w:tplc="0402001B" w:tentative="1">
      <w:start w:val="1"/>
      <w:numFmt w:val="lowerRoman"/>
      <w:lvlText w:val="%9."/>
      <w:lvlJc w:val="right"/>
      <w:pPr>
        <w:ind w:left="12925" w:hanging="180"/>
      </w:pPr>
      <w:rPr>
        <w:rFonts w:cs="Times New Roman"/>
      </w:rPr>
    </w:lvl>
  </w:abstractNum>
  <w:abstractNum w:abstractNumId="94" w15:restartNumberingAfterBreak="0">
    <w:nsid w:val="721676D1"/>
    <w:multiLevelType w:val="hybridMultilevel"/>
    <w:tmpl w:val="116826EE"/>
    <w:lvl w:ilvl="0" w:tplc="1558126C">
      <w:start w:val="1"/>
      <w:numFmt w:val="bullet"/>
      <w:lvlText w:val="—"/>
      <w:lvlJc w:val="left"/>
      <w:pPr>
        <w:ind w:left="720" w:hanging="360"/>
      </w:pPr>
      <w:rPr>
        <w:rFonts w:ascii="Times New Roman" w:eastAsiaTheme="minorHAns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5" w15:restartNumberingAfterBreak="0">
    <w:nsid w:val="726C7808"/>
    <w:multiLevelType w:val="multilevel"/>
    <w:tmpl w:val="C36EF66A"/>
    <w:styleLink w:val="1111111"/>
    <w:lvl w:ilvl="0">
      <w:start w:val="1"/>
      <w:numFmt w:val="decimal"/>
      <w:lvlText w:val="%1."/>
      <w:lvlJc w:val="left"/>
      <w:pPr>
        <w:ind w:left="360" w:hanging="360"/>
      </w:pPr>
      <w:rPr>
        <w:rFonts w:cs="Times New Roman" w:hint="default"/>
      </w:rPr>
    </w:lvl>
    <w:lvl w:ilvl="1">
      <w:start w:val="1"/>
      <w:numFmt w:val="decimal"/>
      <w:lvlText w:val="%1.%2."/>
      <w:lvlJc w:val="left"/>
      <w:pPr>
        <w:ind w:left="792" w:hanging="432"/>
      </w:pPr>
      <w:rPr>
        <w:rFonts w:cs="Times New Roman" w:hint="default"/>
        <w:i w:val="0"/>
      </w:rPr>
    </w:lvl>
    <w:lvl w:ilvl="2">
      <w:start w:val="1"/>
      <w:numFmt w:val="decimal"/>
      <w:lvlText w:val="%1.%2.%3."/>
      <w:lvlJc w:val="left"/>
      <w:pPr>
        <w:ind w:left="1224" w:hanging="504"/>
      </w:pPr>
      <w:rPr>
        <w:rFonts w:cs="Times New Roman" w:hint="default"/>
        <w:i w:val="0"/>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96" w15:restartNumberingAfterBreak="0">
    <w:nsid w:val="73294F4B"/>
    <w:multiLevelType w:val="hybridMultilevel"/>
    <w:tmpl w:val="5C5A6C46"/>
    <w:lvl w:ilvl="0" w:tplc="2EC232BE">
      <w:start w:val="1"/>
      <w:numFmt w:val="bullet"/>
      <w:lvlText w:val="-"/>
      <w:lvlJc w:val="left"/>
      <w:pPr>
        <w:ind w:left="1571" w:hanging="360"/>
      </w:pPr>
      <w:rPr>
        <w:rFonts w:ascii="Times New Roman" w:hAnsi="Times New Roman" w:cs="Times New Roman"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97" w15:restartNumberingAfterBreak="0">
    <w:nsid w:val="737F30A8"/>
    <w:multiLevelType w:val="hybridMultilevel"/>
    <w:tmpl w:val="97B6AEE0"/>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98" w15:restartNumberingAfterBreak="0">
    <w:nsid w:val="73EC0216"/>
    <w:multiLevelType w:val="hybridMultilevel"/>
    <w:tmpl w:val="591885C8"/>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99" w15:restartNumberingAfterBreak="0">
    <w:nsid w:val="74F77D09"/>
    <w:multiLevelType w:val="hybridMultilevel"/>
    <w:tmpl w:val="CBFE8D20"/>
    <w:lvl w:ilvl="0" w:tplc="B7385E5E">
      <w:start w:val="1"/>
      <w:numFmt w:val="bullet"/>
      <w:lvlText w:val="-"/>
      <w:lvlJc w:val="left"/>
      <w:pPr>
        <w:ind w:left="2484" w:hanging="360"/>
      </w:pPr>
      <w:rPr>
        <w:rFonts w:ascii="Times New Roman" w:eastAsia="Times New Roman" w:hAnsi="Times New Roman" w:hint="default"/>
        <w:color w:val="auto"/>
      </w:rPr>
    </w:lvl>
    <w:lvl w:ilvl="1" w:tplc="78BADCA6">
      <w:start w:val="1"/>
      <w:numFmt w:val="decimal"/>
      <w:lvlText w:val="%2."/>
      <w:lvlJc w:val="left"/>
      <w:pPr>
        <w:ind w:left="1920" w:hanging="360"/>
      </w:pPr>
      <w:rPr>
        <w:rFonts w:cs="Times New Roman" w:hint="default"/>
      </w:rPr>
    </w:lvl>
    <w:lvl w:ilvl="2" w:tplc="0402001B">
      <w:start w:val="1"/>
      <w:numFmt w:val="lowerRoman"/>
      <w:lvlText w:val="%3."/>
      <w:lvlJc w:val="right"/>
      <w:pPr>
        <w:ind w:left="3924" w:hanging="180"/>
      </w:pPr>
      <w:rPr>
        <w:rFonts w:cs="Times New Roman"/>
      </w:rPr>
    </w:lvl>
    <w:lvl w:ilvl="3" w:tplc="0402000F" w:tentative="1">
      <w:start w:val="1"/>
      <w:numFmt w:val="decimal"/>
      <w:lvlText w:val="%4."/>
      <w:lvlJc w:val="left"/>
      <w:pPr>
        <w:ind w:left="4644" w:hanging="360"/>
      </w:pPr>
      <w:rPr>
        <w:rFonts w:cs="Times New Roman"/>
      </w:rPr>
    </w:lvl>
    <w:lvl w:ilvl="4" w:tplc="04020019" w:tentative="1">
      <w:start w:val="1"/>
      <w:numFmt w:val="lowerLetter"/>
      <w:lvlText w:val="%5."/>
      <w:lvlJc w:val="left"/>
      <w:pPr>
        <w:ind w:left="5364" w:hanging="360"/>
      </w:pPr>
      <w:rPr>
        <w:rFonts w:cs="Times New Roman"/>
      </w:rPr>
    </w:lvl>
    <w:lvl w:ilvl="5" w:tplc="0402001B" w:tentative="1">
      <w:start w:val="1"/>
      <w:numFmt w:val="lowerRoman"/>
      <w:lvlText w:val="%6."/>
      <w:lvlJc w:val="right"/>
      <w:pPr>
        <w:ind w:left="6084" w:hanging="180"/>
      </w:pPr>
      <w:rPr>
        <w:rFonts w:cs="Times New Roman"/>
      </w:rPr>
    </w:lvl>
    <w:lvl w:ilvl="6" w:tplc="0402000F" w:tentative="1">
      <w:start w:val="1"/>
      <w:numFmt w:val="decimal"/>
      <w:lvlText w:val="%7."/>
      <w:lvlJc w:val="left"/>
      <w:pPr>
        <w:ind w:left="6804" w:hanging="360"/>
      </w:pPr>
      <w:rPr>
        <w:rFonts w:cs="Times New Roman"/>
      </w:rPr>
    </w:lvl>
    <w:lvl w:ilvl="7" w:tplc="04020019" w:tentative="1">
      <w:start w:val="1"/>
      <w:numFmt w:val="lowerLetter"/>
      <w:lvlText w:val="%8."/>
      <w:lvlJc w:val="left"/>
      <w:pPr>
        <w:ind w:left="7524" w:hanging="360"/>
      </w:pPr>
      <w:rPr>
        <w:rFonts w:cs="Times New Roman"/>
      </w:rPr>
    </w:lvl>
    <w:lvl w:ilvl="8" w:tplc="0402001B" w:tentative="1">
      <w:start w:val="1"/>
      <w:numFmt w:val="lowerRoman"/>
      <w:lvlText w:val="%9."/>
      <w:lvlJc w:val="right"/>
      <w:pPr>
        <w:ind w:left="8244" w:hanging="180"/>
      </w:pPr>
      <w:rPr>
        <w:rFonts w:cs="Times New Roman"/>
      </w:rPr>
    </w:lvl>
  </w:abstractNum>
  <w:abstractNum w:abstractNumId="100" w15:restartNumberingAfterBreak="0">
    <w:nsid w:val="77B665C1"/>
    <w:multiLevelType w:val="hybridMultilevel"/>
    <w:tmpl w:val="BE24F2B6"/>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101" w15:restartNumberingAfterBreak="0">
    <w:nsid w:val="79CB2B37"/>
    <w:multiLevelType w:val="hybridMultilevel"/>
    <w:tmpl w:val="21C83FEC"/>
    <w:lvl w:ilvl="0" w:tplc="2EC232BE">
      <w:start w:val="1"/>
      <w:numFmt w:val="bullet"/>
      <w:lvlText w:val="-"/>
      <w:lvlJc w:val="left"/>
      <w:pPr>
        <w:ind w:left="1571" w:hanging="360"/>
      </w:pPr>
      <w:rPr>
        <w:rFonts w:ascii="Times New Roman" w:hAnsi="Times New Roman" w:cs="Times New Roman"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102" w15:restartNumberingAfterBreak="0">
    <w:nsid w:val="7E247804"/>
    <w:multiLevelType w:val="hybridMultilevel"/>
    <w:tmpl w:val="825448B4"/>
    <w:lvl w:ilvl="0" w:tplc="A9247984">
      <w:start w:val="1"/>
      <w:numFmt w:val="decimal"/>
      <w:lvlText w:val="%1)"/>
      <w:lvlJc w:val="left"/>
      <w:pPr>
        <w:ind w:left="1571" w:hanging="360"/>
      </w:pPr>
      <w:rPr>
        <w:b/>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103" w15:restartNumberingAfterBreak="0">
    <w:nsid w:val="7EC81304"/>
    <w:multiLevelType w:val="hybridMultilevel"/>
    <w:tmpl w:val="2D707A40"/>
    <w:name w:val="PwCHeadingListTemplate"/>
    <w:lvl w:ilvl="0" w:tplc="FFFFFFFF">
      <w:start w:val="1"/>
      <w:numFmt w:val="bullet"/>
      <w:lvlText w:val=""/>
      <w:lvlJc w:val="left"/>
      <w:pPr>
        <w:tabs>
          <w:tab w:val="num" w:pos="1854"/>
        </w:tabs>
        <w:ind w:left="1854" w:hanging="360"/>
      </w:pPr>
      <w:rPr>
        <w:rFonts w:ascii="Symbol" w:hAnsi="Symbol" w:hint="default"/>
      </w:rPr>
    </w:lvl>
    <w:lvl w:ilvl="1" w:tplc="980819B6">
      <w:start w:val="2"/>
      <w:numFmt w:val="decimal"/>
      <w:lvlText w:val="%2."/>
      <w:lvlJc w:val="left"/>
      <w:pPr>
        <w:tabs>
          <w:tab w:val="num" w:pos="1495"/>
        </w:tabs>
        <w:ind w:left="1495" w:hanging="360"/>
      </w:pPr>
      <w:rPr>
        <w:rFonts w:cs="Times New Roman" w:hint="default"/>
      </w:rPr>
    </w:lvl>
    <w:lvl w:ilvl="2" w:tplc="04020005" w:tentative="1">
      <w:start w:val="1"/>
      <w:numFmt w:val="bullet"/>
      <w:lvlText w:val=""/>
      <w:lvlJc w:val="left"/>
      <w:pPr>
        <w:tabs>
          <w:tab w:val="num" w:pos="3294"/>
        </w:tabs>
        <w:ind w:left="3294" w:hanging="360"/>
      </w:pPr>
      <w:rPr>
        <w:rFonts w:ascii="Wingdings" w:hAnsi="Wingdings" w:hint="default"/>
      </w:rPr>
    </w:lvl>
    <w:lvl w:ilvl="3" w:tplc="04020001" w:tentative="1">
      <w:start w:val="1"/>
      <w:numFmt w:val="bullet"/>
      <w:lvlText w:val=""/>
      <w:lvlJc w:val="left"/>
      <w:pPr>
        <w:tabs>
          <w:tab w:val="num" w:pos="4014"/>
        </w:tabs>
        <w:ind w:left="4014" w:hanging="360"/>
      </w:pPr>
      <w:rPr>
        <w:rFonts w:ascii="Symbol" w:hAnsi="Symbol" w:hint="default"/>
      </w:rPr>
    </w:lvl>
    <w:lvl w:ilvl="4" w:tplc="04020003" w:tentative="1">
      <w:start w:val="1"/>
      <w:numFmt w:val="bullet"/>
      <w:lvlText w:val="o"/>
      <w:lvlJc w:val="left"/>
      <w:pPr>
        <w:tabs>
          <w:tab w:val="num" w:pos="4734"/>
        </w:tabs>
        <w:ind w:left="4734" w:hanging="360"/>
      </w:pPr>
      <w:rPr>
        <w:rFonts w:ascii="Courier New" w:hAnsi="Courier New" w:hint="default"/>
      </w:rPr>
    </w:lvl>
    <w:lvl w:ilvl="5" w:tplc="04020005" w:tentative="1">
      <w:start w:val="1"/>
      <w:numFmt w:val="bullet"/>
      <w:lvlText w:val=""/>
      <w:lvlJc w:val="left"/>
      <w:pPr>
        <w:tabs>
          <w:tab w:val="num" w:pos="5454"/>
        </w:tabs>
        <w:ind w:left="5454" w:hanging="360"/>
      </w:pPr>
      <w:rPr>
        <w:rFonts w:ascii="Wingdings" w:hAnsi="Wingdings" w:hint="default"/>
      </w:rPr>
    </w:lvl>
    <w:lvl w:ilvl="6" w:tplc="04020001" w:tentative="1">
      <w:start w:val="1"/>
      <w:numFmt w:val="bullet"/>
      <w:lvlText w:val=""/>
      <w:lvlJc w:val="left"/>
      <w:pPr>
        <w:tabs>
          <w:tab w:val="num" w:pos="6174"/>
        </w:tabs>
        <w:ind w:left="6174" w:hanging="360"/>
      </w:pPr>
      <w:rPr>
        <w:rFonts w:ascii="Symbol" w:hAnsi="Symbol" w:hint="default"/>
      </w:rPr>
    </w:lvl>
    <w:lvl w:ilvl="7" w:tplc="04020003" w:tentative="1">
      <w:start w:val="1"/>
      <w:numFmt w:val="bullet"/>
      <w:lvlText w:val="o"/>
      <w:lvlJc w:val="left"/>
      <w:pPr>
        <w:tabs>
          <w:tab w:val="num" w:pos="6894"/>
        </w:tabs>
        <w:ind w:left="6894" w:hanging="360"/>
      </w:pPr>
      <w:rPr>
        <w:rFonts w:ascii="Courier New" w:hAnsi="Courier New" w:hint="default"/>
      </w:rPr>
    </w:lvl>
    <w:lvl w:ilvl="8" w:tplc="04020005" w:tentative="1">
      <w:start w:val="1"/>
      <w:numFmt w:val="bullet"/>
      <w:lvlText w:val=""/>
      <w:lvlJc w:val="left"/>
      <w:pPr>
        <w:tabs>
          <w:tab w:val="num" w:pos="7614"/>
        </w:tabs>
        <w:ind w:left="7614" w:hanging="360"/>
      </w:pPr>
      <w:rPr>
        <w:rFonts w:ascii="Wingdings" w:hAnsi="Wingdings" w:hint="default"/>
      </w:rPr>
    </w:lvl>
  </w:abstractNum>
  <w:abstractNum w:abstractNumId="104" w15:restartNumberingAfterBreak="0">
    <w:nsid w:val="7F0D5F84"/>
    <w:multiLevelType w:val="hybridMultilevel"/>
    <w:tmpl w:val="4DDEBB3C"/>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num w:numId="1">
    <w:abstractNumId w:val="12"/>
  </w:num>
  <w:num w:numId="2">
    <w:abstractNumId w:val="95"/>
    <w:lvlOverride w:ilvl="0">
      <w:lvl w:ilvl="0">
        <w:start w:val="2"/>
        <w:numFmt w:val="decimal"/>
        <w:lvlText w:val="%1."/>
        <w:lvlJc w:val="left"/>
        <w:pPr>
          <w:ind w:left="540" w:hanging="360"/>
        </w:pPr>
        <w:rPr>
          <w:rFonts w:cs="Times New Roman" w:hint="default"/>
        </w:rPr>
      </w:lvl>
    </w:lvlOverride>
    <w:lvlOverride w:ilvl="1">
      <w:lvl w:ilvl="1">
        <w:start w:val="1"/>
        <w:numFmt w:val="decimal"/>
        <w:lvlText w:val="%1.%2."/>
        <w:lvlJc w:val="left"/>
        <w:pPr>
          <w:ind w:left="792" w:hanging="432"/>
        </w:pPr>
        <w:rPr>
          <w:rFonts w:cs="Times New Roman" w:hint="default"/>
          <w:i w:val="0"/>
        </w:rPr>
      </w:lvl>
    </w:lvlOverride>
    <w:lvlOverride w:ilvl="2">
      <w:lvl w:ilvl="2">
        <w:start w:val="1"/>
        <w:numFmt w:val="decimal"/>
        <w:lvlText w:val="%1.%2.%3."/>
        <w:lvlJc w:val="left"/>
        <w:pPr>
          <w:ind w:left="774" w:hanging="504"/>
        </w:pPr>
        <w:rPr>
          <w:rFonts w:cs="Times New Roman" w:hint="default"/>
          <w:b/>
          <w:i w:val="0"/>
        </w:rPr>
      </w:lvl>
    </w:lvlOverride>
    <w:lvlOverride w:ilvl="3">
      <w:lvl w:ilvl="3">
        <w:start w:val="1"/>
        <w:numFmt w:val="decimal"/>
        <w:lvlText w:val="%1.%2.%3.%4."/>
        <w:lvlJc w:val="left"/>
        <w:pPr>
          <w:ind w:left="1728" w:hanging="648"/>
        </w:pPr>
        <w:rPr>
          <w:rFonts w:cs="Times New Roman" w:hint="default"/>
        </w:rPr>
      </w:lvl>
    </w:lvlOverride>
    <w:lvlOverride w:ilvl="4">
      <w:lvl w:ilvl="4">
        <w:start w:val="1"/>
        <w:numFmt w:val="decimal"/>
        <w:lvlText w:val="%1.%2.%3.%4.%5."/>
        <w:lvlJc w:val="left"/>
        <w:pPr>
          <w:ind w:left="2232" w:hanging="792"/>
        </w:pPr>
        <w:rPr>
          <w:rFonts w:cs="Times New Roman" w:hint="default"/>
        </w:rPr>
      </w:lvl>
    </w:lvlOverride>
    <w:lvlOverride w:ilvl="5">
      <w:lvl w:ilvl="5">
        <w:start w:val="1"/>
        <w:numFmt w:val="decimal"/>
        <w:lvlText w:val="%1.%2.%3.%4.%5.%6."/>
        <w:lvlJc w:val="left"/>
        <w:pPr>
          <w:ind w:left="2736" w:hanging="936"/>
        </w:pPr>
        <w:rPr>
          <w:rFonts w:cs="Times New Roman" w:hint="default"/>
        </w:rPr>
      </w:lvl>
    </w:lvlOverride>
    <w:lvlOverride w:ilvl="6">
      <w:lvl w:ilvl="6">
        <w:start w:val="1"/>
        <w:numFmt w:val="decimal"/>
        <w:lvlText w:val="%1.%2.%3.%4.%5.%6.%7."/>
        <w:lvlJc w:val="left"/>
        <w:pPr>
          <w:ind w:left="3240" w:hanging="1080"/>
        </w:pPr>
        <w:rPr>
          <w:rFonts w:cs="Times New Roman" w:hint="default"/>
        </w:rPr>
      </w:lvl>
    </w:lvlOverride>
    <w:lvlOverride w:ilvl="7">
      <w:lvl w:ilvl="7">
        <w:start w:val="1"/>
        <w:numFmt w:val="decimal"/>
        <w:lvlText w:val="%1.%2.%3.%4.%5.%6.%7.%8."/>
        <w:lvlJc w:val="left"/>
        <w:pPr>
          <w:ind w:left="3744" w:hanging="1224"/>
        </w:pPr>
        <w:rPr>
          <w:rFonts w:cs="Times New Roman" w:hint="default"/>
        </w:rPr>
      </w:lvl>
    </w:lvlOverride>
    <w:lvlOverride w:ilvl="8">
      <w:lvl w:ilvl="8">
        <w:start w:val="1"/>
        <w:numFmt w:val="decimal"/>
        <w:lvlText w:val="%1.%2.%3.%4.%5.%6.%7.%8.%9."/>
        <w:lvlJc w:val="left"/>
        <w:pPr>
          <w:ind w:left="4320" w:hanging="1440"/>
        </w:pPr>
        <w:rPr>
          <w:rFonts w:cs="Times New Roman" w:hint="default"/>
        </w:rPr>
      </w:lvl>
    </w:lvlOverride>
  </w:num>
  <w:num w:numId="3">
    <w:abstractNumId w:val="80"/>
  </w:num>
  <w:num w:numId="4">
    <w:abstractNumId w:val="31"/>
  </w:num>
  <w:num w:numId="5">
    <w:abstractNumId w:val="63"/>
  </w:num>
  <w:num w:numId="6">
    <w:abstractNumId w:val="32"/>
  </w:num>
  <w:num w:numId="7">
    <w:abstractNumId w:val="64"/>
  </w:num>
  <w:num w:numId="8">
    <w:abstractNumId w:val="0"/>
  </w:num>
  <w:num w:numId="9">
    <w:abstractNumId w:val="40"/>
  </w:num>
  <w:num w:numId="10">
    <w:abstractNumId w:val="86"/>
  </w:num>
  <w:num w:numId="11">
    <w:abstractNumId w:val="87"/>
  </w:num>
  <w:num w:numId="12">
    <w:abstractNumId w:val="27"/>
  </w:num>
  <w:num w:numId="13">
    <w:abstractNumId w:val="19"/>
  </w:num>
  <w:num w:numId="14">
    <w:abstractNumId w:val="50"/>
  </w:num>
  <w:num w:numId="15">
    <w:abstractNumId w:val="99"/>
  </w:num>
  <w:num w:numId="16">
    <w:abstractNumId w:val="74"/>
  </w:num>
  <w:num w:numId="17">
    <w:abstractNumId w:val="60"/>
  </w:num>
  <w:num w:numId="18">
    <w:abstractNumId w:val="23"/>
  </w:num>
  <w:num w:numId="19">
    <w:abstractNumId w:val="93"/>
  </w:num>
  <w:num w:numId="20">
    <w:abstractNumId w:val="30"/>
  </w:num>
  <w:num w:numId="21">
    <w:abstractNumId w:val="7"/>
  </w:num>
  <w:num w:numId="22">
    <w:abstractNumId w:val="49"/>
  </w:num>
  <w:num w:numId="23">
    <w:abstractNumId w:val="6"/>
  </w:num>
  <w:num w:numId="24">
    <w:abstractNumId w:val="8"/>
  </w:num>
  <w:num w:numId="25">
    <w:abstractNumId w:val="25"/>
  </w:num>
  <w:num w:numId="26">
    <w:abstractNumId w:val="84"/>
  </w:num>
  <w:num w:numId="27">
    <w:abstractNumId w:val="79"/>
  </w:num>
  <w:num w:numId="28">
    <w:abstractNumId w:val="58"/>
  </w:num>
  <w:num w:numId="29">
    <w:abstractNumId w:val="70"/>
  </w:num>
  <w:num w:numId="30">
    <w:abstractNumId w:val="21"/>
  </w:num>
  <w:num w:numId="31">
    <w:abstractNumId w:val="69"/>
  </w:num>
  <w:num w:numId="32">
    <w:abstractNumId w:val="11"/>
  </w:num>
  <w:num w:numId="33">
    <w:abstractNumId w:val="85"/>
  </w:num>
  <w:num w:numId="34">
    <w:abstractNumId w:val="102"/>
  </w:num>
  <w:num w:numId="35">
    <w:abstractNumId w:val="39"/>
  </w:num>
  <w:num w:numId="36">
    <w:abstractNumId w:val="38"/>
  </w:num>
  <w:num w:numId="37">
    <w:abstractNumId w:val="65"/>
  </w:num>
  <w:num w:numId="38">
    <w:abstractNumId w:val="68"/>
  </w:num>
  <w:num w:numId="39">
    <w:abstractNumId w:val="78"/>
  </w:num>
  <w:num w:numId="40">
    <w:abstractNumId w:val="88"/>
  </w:num>
  <w:num w:numId="41">
    <w:abstractNumId w:val="51"/>
  </w:num>
  <w:num w:numId="42">
    <w:abstractNumId w:val="24"/>
  </w:num>
  <w:num w:numId="43">
    <w:abstractNumId w:val="100"/>
  </w:num>
  <w:num w:numId="44">
    <w:abstractNumId w:val="26"/>
  </w:num>
  <w:num w:numId="45">
    <w:abstractNumId w:val="91"/>
  </w:num>
  <w:num w:numId="46">
    <w:abstractNumId w:val="35"/>
  </w:num>
  <w:num w:numId="47">
    <w:abstractNumId w:val="33"/>
  </w:num>
  <w:num w:numId="48">
    <w:abstractNumId w:val="48"/>
  </w:num>
  <w:num w:numId="49">
    <w:abstractNumId w:val="90"/>
  </w:num>
  <w:num w:numId="50">
    <w:abstractNumId w:val="45"/>
  </w:num>
  <w:num w:numId="51">
    <w:abstractNumId w:val="18"/>
  </w:num>
  <w:num w:numId="52">
    <w:abstractNumId w:val="77"/>
  </w:num>
  <w:num w:numId="53">
    <w:abstractNumId w:val="89"/>
  </w:num>
  <w:num w:numId="54">
    <w:abstractNumId w:val="101"/>
  </w:num>
  <w:num w:numId="55">
    <w:abstractNumId w:val="9"/>
  </w:num>
  <w:num w:numId="56">
    <w:abstractNumId w:val="47"/>
  </w:num>
  <w:num w:numId="57">
    <w:abstractNumId w:val="67"/>
  </w:num>
  <w:num w:numId="58">
    <w:abstractNumId w:val="5"/>
  </w:num>
  <w:num w:numId="59">
    <w:abstractNumId w:val="42"/>
  </w:num>
  <w:num w:numId="60">
    <w:abstractNumId w:val="66"/>
  </w:num>
  <w:num w:numId="61">
    <w:abstractNumId w:val="71"/>
  </w:num>
  <w:num w:numId="62">
    <w:abstractNumId w:val="55"/>
  </w:num>
  <w:num w:numId="63">
    <w:abstractNumId w:val="73"/>
  </w:num>
  <w:num w:numId="64">
    <w:abstractNumId w:val="46"/>
  </w:num>
  <w:num w:numId="65">
    <w:abstractNumId w:val="92"/>
  </w:num>
  <w:num w:numId="66">
    <w:abstractNumId w:val="28"/>
  </w:num>
  <w:num w:numId="67">
    <w:abstractNumId w:val="43"/>
  </w:num>
  <w:num w:numId="68">
    <w:abstractNumId w:val="29"/>
  </w:num>
  <w:num w:numId="69">
    <w:abstractNumId w:val="22"/>
  </w:num>
  <w:num w:numId="70">
    <w:abstractNumId w:val="15"/>
  </w:num>
  <w:num w:numId="71">
    <w:abstractNumId w:val="81"/>
  </w:num>
  <w:num w:numId="72">
    <w:abstractNumId w:val="37"/>
  </w:num>
  <w:num w:numId="73">
    <w:abstractNumId w:val="53"/>
  </w:num>
  <w:num w:numId="74">
    <w:abstractNumId w:val="10"/>
  </w:num>
  <w:num w:numId="75">
    <w:abstractNumId w:val="57"/>
  </w:num>
  <w:num w:numId="76">
    <w:abstractNumId w:val="83"/>
  </w:num>
  <w:num w:numId="77">
    <w:abstractNumId w:val="16"/>
  </w:num>
  <w:num w:numId="78">
    <w:abstractNumId w:val="76"/>
  </w:num>
  <w:num w:numId="79">
    <w:abstractNumId w:val="75"/>
  </w:num>
  <w:num w:numId="80">
    <w:abstractNumId w:val="62"/>
  </w:num>
  <w:num w:numId="81">
    <w:abstractNumId w:val="82"/>
  </w:num>
  <w:num w:numId="82">
    <w:abstractNumId w:val="34"/>
  </w:num>
  <w:num w:numId="83">
    <w:abstractNumId w:val="13"/>
  </w:num>
  <w:num w:numId="84">
    <w:abstractNumId w:val="96"/>
  </w:num>
  <w:num w:numId="85">
    <w:abstractNumId w:val="14"/>
  </w:num>
  <w:num w:numId="86">
    <w:abstractNumId w:val="72"/>
  </w:num>
  <w:num w:numId="87">
    <w:abstractNumId w:val="56"/>
  </w:num>
  <w:num w:numId="88">
    <w:abstractNumId w:val="104"/>
  </w:num>
  <w:num w:numId="89">
    <w:abstractNumId w:val="59"/>
  </w:num>
  <w:num w:numId="90">
    <w:abstractNumId w:val="44"/>
  </w:num>
  <w:num w:numId="91">
    <w:abstractNumId w:val="36"/>
  </w:num>
  <w:num w:numId="92">
    <w:abstractNumId w:val="97"/>
  </w:num>
  <w:num w:numId="93">
    <w:abstractNumId w:val="61"/>
  </w:num>
  <w:num w:numId="94">
    <w:abstractNumId w:val="98"/>
  </w:num>
  <w:num w:numId="95">
    <w:abstractNumId w:val="1"/>
  </w:num>
  <w:num w:numId="96">
    <w:abstractNumId w:val="2"/>
  </w:num>
  <w:num w:numId="97">
    <w:abstractNumId w:val="3"/>
  </w:num>
  <w:num w:numId="98">
    <w:abstractNumId w:val="41"/>
  </w:num>
  <w:num w:numId="99">
    <w:abstractNumId w:val="54"/>
  </w:num>
  <w:num w:numId="100">
    <w:abstractNumId w:val="52"/>
  </w:num>
  <w:num w:numId="101">
    <w:abstractNumId w:val="94"/>
  </w:num>
  <w:num w:numId="102">
    <w:abstractNumId w:val="20"/>
  </w:num>
  <w:num w:numId="103">
    <w:abstractNumId w:val="17"/>
  </w:num>
  <w:num w:numId="104">
    <w:abstractNumId w:val="95"/>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45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360C"/>
    <w:rsid w:val="000273E4"/>
    <w:rsid w:val="00042BFD"/>
    <w:rsid w:val="00047D12"/>
    <w:rsid w:val="00053B96"/>
    <w:rsid w:val="00094696"/>
    <w:rsid w:val="000B28EE"/>
    <w:rsid w:val="000D4F66"/>
    <w:rsid w:val="000E1A63"/>
    <w:rsid w:val="000F4C4C"/>
    <w:rsid w:val="001029D3"/>
    <w:rsid w:val="00106016"/>
    <w:rsid w:val="001157F6"/>
    <w:rsid w:val="0011729F"/>
    <w:rsid w:val="00162238"/>
    <w:rsid w:val="001776B1"/>
    <w:rsid w:val="0019506B"/>
    <w:rsid w:val="001A3392"/>
    <w:rsid w:val="001B546C"/>
    <w:rsid w:val="001C7A24"/>
    <w:rsid w:val="001E6A48"/>
    <w:rsid w:val="00210719"/>
    <w:rsid w:val="00212B67"/>
    <w:rsid w:val="0022101A"/>
    <w:rsid w:val="00287647"/>
    <w:rsid w:val="00294AEF"/>
    <w:rsid w:val="002E5C93"/>
    <w:rsid w:val="00316461"/>
    <w:rsid w:val="003263F8"/>
    <w:rsid w:val="003519A4"/>
    <w:rsid w:val="0039478F"/>
    <w:rsid w:val="003F0617"/>
    <w:rsid w:val="00436CBC"/>
    <w:rsid w:val="00457FB0"/>
    <w:rsid w:val="00482674"/>
    <w:rsid w:val="00496FD7"/>
    <w:rsid w:val="004F0AC1"/>
    <w:rsid w:val="004F3C52"/>
    <w:rsid w:val="00505E9C"/>
    <w:rsid w:val="0055339D"/>
    <w:rsid w:val="0056771F"/>
    <w:rsid w:val="00581D34"/>
    <w:rsid w:val="00607464"/>
    <w:rsid w:val="00624B4C"/>
    <w:rsid w:val="006332DE"/>
    <w:rsid w:val="00684DED"/>
    <w:rsid w:val="006A2875"/>
    <w:rsid w:val="006B1C56"/>
    <w:rsid w:val="006D21E2"/>
    <w:rsid w:val="00703EB6"/>
    <w:rsid w:val="0076749F"/>
    <w:rsid w:val="00774876"/>
    <w:rsid w:val="00782956"/>
    <w:rsid w:val="007C1ABE"/>
    <w:rsid w:val="007C4548"/>
    <w:rsid w:val="007E360C"/>
    <w:rsid w:val="00830F22"/>
    <w:rsid w:val="00843B24"/>
    <w:rsid w:val="008477E2"/>
    <w:rsid w:val="00865ED3"/>
    <w:rsid w:val="008A5167"/>
    <w:rsid w:val="0090022A"/>
    <w:rsid w:val="009175F1"/>
    <w:rsid w:val="0093596D"/>
    <w:rsid w:val="009378CA"/>
    <w:rsid w:val="00954F3C"/>
    <w:rsid w:val="00975773"/>
    <w:rsid w:val="00994F44"/>
    <w:rsid w:val="00995416"/>
    <w:rsid w:val="009C542B"/>
    <w:rsid w:val="00A31822"/>
    <w:rsid w:val="00A42B03"/>
    <w:rsid w:val="00A6118D"/>
    <w:rsid w:val="00A621FE"/>
    <w:rsid w:val="00A80A0F"/>
    <w:rsid w:val="00A92EF0"/>
    <w:rsid w:val="00AB50FC"/>
    <w:rsid w:val="00AF7398"/>
    <w:rsid w:val="00BC2BDA"/>
    <w:rsid w:val="00BD6981"/>
    <w:rsid w:val="00BE6599"/>
    <w:rsid w:val="00BF5295"/>
    <w:rsid w:val="00C01EAB"/>
    <w:rsid w:val="00C34D04"/>
    <w:rsid w:val="00C70469"/>
    <w:rsid w:val="00C80F87"/>
    <w:rsid w:val="00C8179F"/>
    <w:rsid w:val="00CA3AC4"/>
    <w:rsid w:val="00CA5ACA"/>
    <w:rsid w:val="00CD7E74"/>
    <w:rsid w:val="00CE0C10"/>
    <w:rsid w:val="00D034E1"/>
    <w:rsid w:val="00D66302"/>
    <w:rsid w:val="00DC07D6"/>
    <w:rsid w:val="00DC2786"/>
    <w:rsid w:val="00E038D8"/>
    <w:rsid w:val="00E30976"/>
    <w:rsid w:val="00E51D6E"/>
    <w:rsid w:val="00E61CEC"/>
    <w:rsid w:val="00E727E1"/>
    <w:rsid w:val="00E80472"/>
    <w:rsid w:val="00EA6008"/>
    <w:rsid w:val="00EA7ECC"/>
    <w:rsid w:val="00EC732D"/>
    <w:rsid w:val="00EF15E3"/>
    <w:rsid w:val="00F009D4"/>
    <w:rsid w:val="00F04E50"/>
    <w:rsid w:val="00F37BE0"/>
    <w:rsid w:val="00F53D99"/>
    <w:rsid w:val="00F6623F"/>
    <w:rsid w:val="00F7640F"/>
    <w:rsid w:val="00F84E74"/>
    <w:rsid w:val="00F97BE5"/>
    <w:rsid w:val="00FC29FF"/>
    <w:rsid w:val="00FD28E6"/>
    <w:rsid w:val="00FF2F1B"/>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4581"/>
    <o:shapelayout v:ext="edit">
      <o:idmap v:ext="edit" data="1"/>
    </o:shapelayout>
  </w:shapeDefaults>
  <w:decimalSymbol w:val=","/>
  <w:listSeparator w:val=";"/>
  <w14:docId w14:val="50FB51F7"/>
  <w15:chartTrackingRefBased/>
  <w15:docId w15:val="{78DA35D7-DEC8-4AB1-8912-E775019421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E360C"/>
    <w:pPr>
      <w:spacing w:after="0" w:line="240" w:lineRule="auto"/>
      <w:ind w:firstLine="851"/>
      <w:jc w:val="both"/>
    </w:pPr>
    <w:rPr>
      <w:rFonts w:ascii="Times New Roman" w:eastAsia="Times New Roman" w:hAnsi="Times New Roman" w:cs="Times New Roman"/>
      <w:sz w:val="24"/>
      <w:szCs w:val="20"/>
      <w:lang w:eastAsia="pl-PL"/>
    </w:rPr>
  </w:style>
  <w:style w:type="paragraph" w:styleId="Heading1">
    <w:name w:val="heading 1"/>
    <w:basedOn w:val="Normal"/>
    <w:next w:val="Normal"/>
    <w:link w:val="Heading1Char"/>
    <w:uiPriority w:val="9"/>
    <w:qFormat/>
    <w:rsid w:val="007E360C"/>
    <w:pPr>
      <w:keepNext/>
      <w:spacing w:before="240" w:after="60"/>
      <w:outlineLvl w:val="0"/>
    </w:pPr>
    <w:rPr>
      <w:rFonts w:ascii="Cambria" w:hAnsi="Cambria"/>
      <w:b/>
      <w:bCs/>
      <w:kern w:val="32"/>
      <w:sz w:val="32"/>
      <w:szCs w:val="32"/>
    </w:rPr>
  </w:style>
  <w:style w:type="paragraph" w:styleId="Heading2">
    <w:name w:val="heading 2"/>
    <w:aliases w:val="Heading 2 Char1,Heading 2 Char Char"/>
    <w:basedOn w:val="Normal"/>
    <w:next w:val="Normal"/>
    <w:link w:val="Heading2Char"/>
    <w:uiPriority w:val="9"/>
    <w:qFormat/>
    <w:rsid w:val="007E360C"/>
    <w:pPr>
      <w:keepNext/>
      <w:widowControl w:val="0"/>
      <w:spacing w:after="120"/>
      <w:outlineLvl w:val="1"/>
    </w:pPr>
    <w:rPr>
      <w:b/>
    </w:rPr>
  </w:style>
  <w:style w:type="paragraph" w:styleId="Heading3">
    <w:name w:val="heading 3"/>
    <w:aliases w:val="Heading 2 Char Char + Bookman Old Style,Gris - 80 %,Gauche :  2,97 ...,Címsor 3 Char"/>
    <w:basedOn w:val="Normal"/>
    <w:next w:val="Normal"/>
    <w:link w:val="Heading3Char2"/>
    <w:uiPriority w:val="9"/>
    <w:unhideWhenUsed/>
    <w:qFormat/>
    <w:rsid w:val="007E360C"/>
    <w:pPr>
      <w:keepNext/>
      <w:keepLines/>
      <w:spacing w:before="200"/>
      <w:outlineLvl w:val="2"/>
    </w:pPr>
    <w:rPr>
      <w:rFonts w:ascii="Cambria" w:hAnsi="Cambria"/>
      <w:b/>
      <w:bCs/>
      <w:color w:val="4F81BD"/>
    </w:rPr>
  </w:style>
  <w:style w:type="paragraph" w:styleId="Heading4">
    <w:name w:val="heading 4"/>
    <w:basedOn w:val="Normal"/>
    <w:next w:val="Normal"/>
    <w:link w:val="Heading4Char"/>
    <w:uiPriority w:val="9"/>
    <w:unhideWhenUsed/>
    <w:qFormat/>
    <w:rsid w:val="007E360C"/>
    <w:pPr>
      <w:keepNext/>
      <w:keepLines/>
      <w:spacing w:before="200"/>
      <w:outlineLvl w:val="3"/>
    </w:pPr>
    <w:rPr>
      <w:rFonts w:ascii="Cambria" w:hAnsi="Cambria"/>
      <w:b/>
      <w:bCs/>
      <w:i/>
      <w:iCs/>
      <w:color w:val="4F81BD"/>
    </w:rPr>
  </w:style>
  <w:style w:type="paragraph" w:styleId="Heading5">
    <w:name w:val="heading 5"/>
    <w:basedOn w:val="Normal"/>
    <w:next w:val="Normal"/>
    <w:link w:val="Heading5Char"/>
    <w:uiPriority w:val="9"/>
    <w:qFormat/>
    <w:rsid w:val="007E360C"/>
    <w:pPr>
      <w:keepNext/>
      <w:outlineLvl w:val="4"/>
    </w:pPr>
    <w:rPr>
      <w:b/>
    </w:rPr>
  </w:style>
  <w:style w:type="paragraph" w:styleId="Heading6">
    <w:name w:val="heading 6"/>
    <w:basedOn w:val="Normal"/>
    <w:next w:val="Normal"/>
    <w:link w:val="Heading6Char"/>
    <w:uiPriority w:val="9"/>
    <w:qFormat/>
    <w:rsid w:val="007E360C"/>
    <w:pPr>
      <w:keepNext/>
      <w:widowControl w:val="0"/>
      <w:numPr>
        <w:ilvl w:val="5"/>
        <w:numId w:val="5"/>
      </w:numPr>
      <w:spacing w:line="254" w:lineRule="exact"/>
      <w:outlineLvl w:val="5"/>
    </w:pPr>
    <w:rPr>
      <w:b/>
      <w:smallCaps/>
      <w:color w:val="000000"/>
      <w:spacing w:val="-7"/>
    </w:rPr>
  </w:style>
  <w:style w:type="paragraph" w:styleId="Heading7">
    <w:name w:val="heading 7"/>
    <w:basedOn w:val="Normal"/>
    <w:next w:val="Normal"/>
    <w:link w:val="Heading7Char"/>
    <w:uiPriority w:val="9"/>
    <w:qFormat/>
    <w:rsid w:val="007E360C"/>
    <w:pPr>
      <w:keepNext/>
      <w:widowControl w:val="0"/>
      <w:numPr>
        <w:ilvl w:val="6"/>
        <w:numId w:val="5"/>
      </w:numPr>
      <w:spacing w:line="254" w:lineRule="exact"/>
      <w:outlineLvl w:val="6"/>
    </w:pPr>
    <w:rPr>
      <w:color w:val="000000"/>
      <w:spacing w:val="-4"/>
    </w:rPr>
  </w:style>
  <w:style w:type="paragraph" w:styleId="Heading8">
    <w:name w:val="heading 8"/>
    <w:basedOn w:val="Normal"/>
    <w:next w:val="Normal"/>
    <w:link w:val="Heading8Char"/>
    <w:uiPriority w:val="9"/>
    <w:qFormat/>
    <w:rsid w:val="007E360C"/>
    <w:pPr>
      <w:keepNext/>
      <w:numPr>
        <w:ilvl w:val="7"/>
        <w:numId w:val="5"/>
      </w:numPr>
      <w:outlineLvl w:val="7"/>
    </w:pPr>
    <w:rPr>
      <w:b/>
    </w:rPr>
  </w:style>
  <w:style w:type="paragraph" w:styleId="Heading9">
    <w:name w:val="heading 9"/>
    <w:basedOn w:val="Normal"/>
    <w:next w:val="Normal"/>
    <w:link w:val="Heading9Char"/>
    <w:uiPriority w:val="9"/>
    <w:qFormat/>
    <w:rsid w:val="007E360C"/>
    <w:pPr>
      <w:keepNext/>
      <w:widowControl w:val="0"/>
      <w:numPr>
        <w:ilvl w:val="8"/>
        <w:numId w:val="5"/>
      </w:numPr>
      <w:spacing w:line="254" w:lineRule="exact"/>
      <w:outlineLvl w:val="8"/>
    </w:pPr>
    <w:rPr>
      <w:b/>
      <w:color w:val="000000"/>
      <w:spacing w:val="-5"/>
      <w:sz w:val="2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E360C"/>
    <w:rPr>
      <w:rFonts w:ascii="Cambria" w:eastAsia="Times New Roman" w:hAnsi="Cambria" w:cs="Times New Roman"/>
      <w:b/>
      <w:bCs/>
      <w:kern w:val="32"/>
      <w:sz w:val="32"/>
      <w:szCs w:val="32"/>
      <w:lang w:eastAsia="pl-PL"/>
    </w:rPr>
  </w:style>
  <w:style w:type="character" w:customStyle="1" w:styleId="Heading2Char">
    <w:name w:val="Heading 2 Char"/>
    <w:aliases w:val="Heading 2 Char1 Char,Heading 2 Char Char Char"/>
    <w:basedOn w:val="DefaultParagraphFont"/>
    <w:link w:val="Heading2"/>
    <w:uiPriority w:val="9"/>
    <w:rsid w:val="007E360C"/>
    <w:rPr>
      <w:rFonts w:ascii="Times New Roman" w:eastAsia="Times New Roman" w:hAnsi="Times New Roman" w:cs="Times New Roman"/>
      <w:b/>
      <w:sz w:val="24"/>
      <w:szCs w:val="20"/>
      <w:lang w:eastAsia="pl-PL"/>
    </w:rPr>
  </w:style>
  <w:style w:type="character" w:customStyle="1" w:styleId="Heading3Char">
    <w:name w:val="Heading 3 Char"/>
    <w:aliases w:val="Heading 2 Char Char + Bookman Old Style Char,Gris - 80 % Char,Gauche :  2 Char,97 ... Char,Címsor 3 Char Char"/>
    <w:basedOn w:val="DefaultParagraphFont"/>
    <w:uiPriority w:val="9"/>
    <w:semiHidden/>
    <w:rsid w:val="007E360C"/>
    <w:rPr>
      <w:rFonts w:asciiTheme="majorHAnsi" w:eastAsiaTheme="majorEastAsia" w:hAnsiTheme="majorHAnsi" w:cstheme="majorBidi"/>
      <w:color w:val="1F4D78" w:themeColor="accent1" w:themeShade="7F"/>
      <w:sz w:val="24"/>
      <w:szCs w:val="24"/>
      <w:lang w:eastAsia="pl-PL"/>
    </w:rPr>
  </w:style>
  <w:style w:type="character" w:customStyle="1" w:styleId="Heading4Char">
    <w:name w:val="Heading 4 Char"/>
    <w:basedOn w:val="DefaultParagraphFont"/>
    <w:link w:val="Heading4"/>
    <w:uiPriority w:val="9"/>
    <w:rsid w:val="007E360C"/>
    <w:rPr>
      <w:rFonts w:ascii="Cambria" w:eastAsia="Times New Roman" w:hAnsi="Cambria" w:cs="Times New Roman"/>
      <w:b/>
      <w:bCs/>
      <w:i/>
      <w:iCs/>
      <w:color w:val="4F81BD"/>
      <w:sz w:val="24"/>
      <w:szCs w:val="20"/>
      <w:lang w:eastAsia="pl-PL"/>
    </w:rPr>
  </w:style>
  <w:style w:type="character" w:customStyle="1" w:styleId="Heading5Char">
    <w:name w:val="Heading 5 Char"/>
    <w:basedOn w:val="DefaultParagraphFont"/>
    <w:link w:val="Heading5"/>
    <w:uiPriority w:val="9"/>
    <w:rsid w:val="007E360C"/>
    <w:rPr>
      <w:rFonts w:ascii="Times New Roman" w:eastAsia="Times New Roman" w:hAnsi="Times New Roman" w:cs="Times New Roman"/>
      <w:b/>
      <w:sz w:val="24"/>
      <w:szCs w:val="20"/>
      <w:lang w:eastAsia="pl-PL"/>
    </w:rPr>
  </w:style>
  <w:style w:type="character" w:customStyle="1" w:styleId="Heading6Char">
    <w:name w:val="Heading 6 Char"/>
    <w:basedOn w:val="DefaultParagraphFont"/>
    <w:link w:val="Heading6"/>
    <w:uiPriority w:val="9"/>
    <w:rsid w:val="007E360C"/>
    <w:rPr>
      <w:rFonts w:ascii="Times New Roman" w:eastAsia="Times New Roman" w:hAnsi="Times New Roman" w:cs="Times New Roman"/>
      <w:b/>
      <w:smallCaps/>
      <w:color w:val="000000"/>
      <w:spacing w:val="-7"/>
      <w:sz w:val="24"/>
      <w:szCs w:val="20"/>
      <w:lang w:eastAsia="pl-PL"/>
    </w:rPr>
  </w:style>
  <w:style w:type="character" w:customStyle="1" w:styleId="Heading7Char">
    <w:name w:val="Heading 7 Char"/>
    <w:basedOn w:val="DefaultParagraphFont"/>
    <w:link w:val="Heading7"/>
    <w:uiPriority w:val="9"/>
    <w:rsid w:val="007E360C"/>
    <w:rPr>
      <w:rFonts w:ascii="Times New Roman" w:eastAsia="Times New Roman" w:hAnsi="Times New Roman" w:cs="Times New Roman"/>
      <w:color w:val="000000"/>
      <w:spacing w:val="-4"/>
      <w:sz w:val="24"/>
      <w:szCs w:val="20"/>
      <w:lang w:eastAsia="pl-PL"/>
    </w:rPr>
  </w:style>
  <w:style w:type="character" w:customStyle="1" w:styleId="Heading8Char">
    <w:name w:val="Heading 8 Char"/>
    <w:basedOn w:val="DefaultParagraphFont"/>
    <w:link w:val="Heading8"/>
    <w:uiPriority w:val="9"/>
    <w:rsid w:val="007E360C"/>
    <w:rPr>
      <w:rFonts w:ascii="Times New Roman" w:eastAsia="Times New Roman" w:hAnsi="Times New Roman" w:cs="Times New Roman"/>
      <w:b/>
      <w:sz w:val="24"/>
      <w:szCs w:val="20"/>
      <w:lang w:eastAsia="pl-PL"/>
    </w:rPr>
  </w:style>
  <w:style w:type="character" w:customStyle="1" w:styleId="Heading9Char">
    <w:name w:val="Heading 9 Char"/>
    <w:basedOn w:val="DefaultParagraphFont"/>
    <w:link w:val="Heading9"/>
    <w:uiPriority w:val="9"/>
    <w:rsid w:val="007E360C"/>
    <w:rPr>
      <w:rFonts w:ascii="Times New Roman" w:eastAsia="Times New Roman" w:hAnsi="Times New Roman" w:cs="Times New Roman"/>
      <w:b/>
      <w:color w:val="000000"/>
      <w:spacing w:val="-5"/>
      <w:sz w:val="23"/>
      <w:szCs w:val="20"/>
      <w:lang w:eastAsia="pl-PL"/>
    </w:rPr>
  </w:style>
  <w:style w:type="paragraph" w:customStyle="1" w:styleId="CharCharChar1CharCharChar">
    <w:name w:val="Char Char Char1 Char Char Char"/>
    <w:basedOn w:val="Normal"/>
    <w:rsid w:val="007E360C"/>
    <w:pPr>
      <w:spacing w:after="160" w:line="240" w:lineRule="exact"/>
    </w:pPr>
    <w:rPr>
      <w:rFonts w:ascii="Tahoma" w:hAnsi="Tahoma"/>
      <w:lang w:val="en-US" w:eastAsia="en-US"/>
    </w:rPr>
  </w:style>
  <w:style w:type="paragraph" w:customStyle="1" w:styleId="Normal1">
    <w:name w:val="Normal1"/>
    <w:basedOn w:val="Normal"/>
    <w:rsid w:val="007E360C"/>
    <w:pPr>
      <w:spacing w:before="100" w:beforeAutospacing="1" w:after="100" w:afterAutospacing="1"/>
    </w:pPr>
    <w:rPr>
      <w:szCs w:val="24"/>
      <w:lang w:eastAsia="bg-BG"/>
    </w:rPr>
  </w:style>
  <w:style w:type="paragraph" w:customStyle="1" w:styleId="Default">
    <w:name w:val="Default"/>
    <w:rsid w:val="007E360C"/>
    <w:pPr>
      <w:autoSpaceDE w:val="0"/>
      <w:autoSpaceDN w:val="0"/>
      <w:adjustRightInd w:val="0"/>
      <w:spacing w:after="0" w:line="240" w:lineRule="auto"/>
      <w:jc w:val="center"/>
    </w:pPr>
    <w:rPr>
      <w:rFonts w:ascii="Times New Roman" w:eastAsia="Times New Roman" w:hAnsi="Times New Roman" w:cs="Times New Roman"/>
      <w:color w:val="000000"/>
      <w:sz w:val="24"/>
      <w:szCs w:val="24"/>
      <w:lang w:eastAsia="bg-BG"/>
    </w:rPr>
  </w:style>
  <w:style w:type="paragraph" w:customStyle="1" w:styleId="CM1">
    <w:name w:val="CM1"/>
    <w:basedOn w:val="Default"/>
    <w:next w:val="Default"/>
    <w:uiPriority w:val="99"/>
    <w:rsid w:val="007E360C"/>
    <w:rPr>
      <w:rFonts w:ascii="EUAlbertina" w:hAnsi="EUAlbertina"/>
      <w:color w:val="auto"/>
    </w:rPr>
  </w:style>
  <w:style w:type="paragraph" w:customStyle="1" w:styleId="CM3">
    <w:name w:val="CM3"/>
    <w:basedOn w:val="Default"/>
    <w:next w:val="Default"/>
    <w:uiPriority w:val="99"/>
    <w:rsid w:val="007E360C"/>
    <w:rPr>
      <w:rFonts w:ascii="EUAlbertina" w:hAnsi="EUAlbertina"/>
      <w:color w:val="auto"/>
    </w:rPr>
  </w:style>
  <w:style w:type="paragraph" w:customStyle="1" w:styleId="CM4">
    <w:name w:val="CM4"/>
    <w:basedOn w:val="Default"/>
    <w:next w:val="Default"/>
    <w:uiPriority w:val="99"/>
    <w:rsid w:val="007E360C"/>
    <w:rPr>
      <w:rFonts w:ascii="EUAlbertina" w:hAnsi="EUAlbertina"/>
      <w:color w:val="auto"/>
    </w:rPr>
  </w:style>
  <w:style w:type="table" w:styleId="TableGrid">
    <w:name w:val="Table Grid"/>
    <w:basedOn w:val="TableNormal"/>
    <w:uiPriority w:val="39"/>
    <w:rsid w:val="007E360C"/>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7E360C"/>
    <w:rPr>
      <w:color w:val="0000FF"/>
      <w:u w:val="single"/>
    </w:rPr>
  </w:style>
  <w:style w:type="paragraph" w:styleId="FootnoteText">
    <w:name w:val="footnote text"/>
    <w:aliases w:val="Podrozdział,stile 1,Footnote,Footnote1,Footnote2,Footnote3,Footnote4,Footnote5,Footnote6,Footnote7,Footnote8,Footnote9,Footnote10,Footnote11,Footnote21,Footnote31,Footnote41,Footnote51,Footnote61,Footnote71,Footnote81,Footnote91"/>
    <w:basedOn w:val="Normal"/>
    <w:link w:val="FootnoteTextChar"/>
    <w:uiPriority w:val="99"/>
    <w:unhideWhenUsed/>
    <w:qFormat/>
    <w:rsid w:val="007E360C"/>
    <w:pPr>
      <w:ind w:left="720" w:hanging="720"/>
    </w:pPr>
    <w:rPr>
      <w:lang w:val="en-GB"/>
    </w:rPr>
  </w:style>
  <w:style w:type="character" w:customStyle="1" w:styleId="FootnoteTextChar">
    <w:name w:val="Footnote Text Char"/>
    <w:aliases w:val="Podrozdział Char,stile 1 Char,Footnote Char,Footnote1 Char,Footnote2 Char,Footnote3 Char,Footnote4 Char,Footnote5 Char,Footnote6 Char,Footnote7 Char,Footnote8 Char,Footnote9 Char,Footnote10 Char,Footnote11 Char,Footnote21 Char"/>
    <w:basedOn w:val="DefaultParagraphFont"/>
    <w:link w:val="FootnoteText"/>
    <w:uiPriority w:val="99"/>
    <w:rsid w:val="007E360C"/>
    <w:rPr>
      <w:rFonts w:ascii="Times New Roman" w:eastAsia="Times New Roman" w:hAnsi="Times New Roman" w:cs="Times New Roman"/>
      <w:sz w:val="24"/>
      <w:szCs w:val="20"/>
      <w:lang w:val="en-GB" w:eastAsia="pl-PL"/>
    </w:rPr>
  </w:style>
  <w:style w:type="character" w:styleId="FootnoteReference">
    <w:name w:val="footnote reference"/>
    <w:aliases w:val="Footnote symbol,Appel note de bas de p,SUPERS,Nota,(NECG) Footnote Reference,Voetnootverwijzing,Footnote Reference Superscript,BVI fnr,Lábjegyzet-hivatkozás,L?bjegyzet-hivatkoz?s,Char1 Char Char Char Char,ftref,Fussnot,Footnote number"/>
    <w:link w:val="SUPERSChar"/>
    <w:uiPriority w:val="99"/>
    <w:unhideWhenUsed/>
    <w:rsid w:val="007E360C"/>
    <w:rPr>
      <w:vertAlign w:val="superscript"/>
    </w:rPr>
  </w:style>
  <w:style w:type="paragraph" w:styleId="BalloonText">
    <w:name w:val="Balloon Text"/>
    <w:basedOn w:val="Normal"/>
    <w:link w:val="BalloonTextChar"/>
    <w:uiPriority w:val="99"/>
    <w:rsid w:val="007E360C"/>
    <w:rPr>
      <w:rFonts w:ascii="Tahoma" w:hAnsi="Tahoma" w:cs="Tahoma"/>
      <w:sz w:val="16"/>
      <w:szCs w:val="16"/>
    </w:rPr>
  </w:style>
  <w:style w:type="character" w:customStyle="1" w:styleId="BalloonTextChar">
    <w:name w:val="Balloon Text Char"/>
    <w:basedOn w:val="DefaultParagraphFont"/>
    <w:link w:val="BalloonText"/>
    <w:uiPriority w:val="99"/>
    <w:rsid w:val="007E360C"/>
    <w:rPr>
      <w:rFonts w:ascii="Tahoma" w:eastAsia="Times New Roman" w:hAnsi="Tahoma" w:cs="Tahoma"/>
      <w:sz w:val="16"/>
      <w:szCs w:val="16"/>
      <w:lang w:eastAsia="pl-PL"/>
    </w:rPr>
  </w:style>
  <w:style w:type="paragraph" w:styleId="Header">
    <w:name w:val="header"/>
    <w:aliases w:val="(17) EPR Header"/>
    <w:basedOn w:val="Normal"/>
    <w:link w:val="HeaderChar"/>
    <w:uiPriority w:val="99"/>
    <w:rsid w:val="007E360C"/>
    <w:pPr>
      <w:tabs>
        <w:tab w:val="center" w:pos="4536"/>
        <w:tab w:val="right" w:pos="9072"/>
      </w:tabs>
    </w:pPr>
  </w:style>
  <w:style w:type="character" w:customStyle="1" w:styleId="HeaderChar">
    <w:name w:val="Header Char"/>
    <w:aliases w:val="(17) EPR Header Char"/>
    <w:basedOn w:val="DefaultParagraphFont"/>
    <w:link w:val="Header"/>
    <w:uiPriority w:val="99"/>
    <w:rsid w:val="007E360C"/>
    <w:rPr>
      <w:rFonts w:ascii="Times New Roman" w:eastAsia="Times New Roman" w:hAnsi="Times New Roman" w:cs="Times New Roman"/>
      <w:sz w:val="24"/>
      <w:szCs w:val="20"/>
      <w:lang w:eastAsia="pl-PL"/>
    </w:rPr>
  </w:style>
  <w:style w:type="paragraph" w:styleId="Footer">
    <w:name w:val="footer"/>
    <w:basedOn w:val="Normal"/>
    <w:link w:val="FooterChar"/>
    <w:uiPriority w:val="99"/>
    <w:rsid w:val="007E360C"/>
    <w:pPr>
      <w:tabs>
        <w:tab w:val="center" w:pos="4536"/>
        <w:tab w:val="right" w:pos="9072"/>
      </w:tabs>
    </w:pPr>
  </w:style>
  <w:style w:type="character" w:customStyle="1" w:styleId="FooterChar">
    <w:name w:val="Footer Char"/>
    <w:basedOn w:val="DefaultParagraphFont"/>
    <w:link w:val="Footer"/>
    <w:uiPriority w:val="99"/>
    <w:rsid w:val="007E360C"/>
    <w:rPr>
      <w:rFonts w:ascii="Times New Roman" w:eastAsia="Times New Roman" w:hAnsi="Times New Roman" w:cs="Times New Roman"/>
      <w:sz w:val="24"/>
      <w:szCs w:val="20"/>
      <w:lang w:eastAsia="pl-PL"/>
    </w:rPr>
  </w:style>
  <w:style w:type="paragraph" w:styleId="BodyText">
    <w:name w:val="Body Text"/>
    <w:basedOn w:val="Normal"/>
    <w:link w:val="BodyTextChar"/>
    <w:uiPriority w:val="99"/>
    <w:unhideWhenUsed/>
    <w:rsid w:val="007E360C"/>
    <w:rPr>
      <w:b/>
      <w:bCs/>
      <w:szCs w:val="24"/>
      <w:lang w:eastAsia="en-US"/>
    </w:rPr>
  </w:style>
  <w:style w:type="character" w:customStyle="1" w:styleId="BodyTextChar">
    <w:name w:val="Body Text Char"/>
    <w:basedOn w:val="DefaultParagraphFont"/>
    <w:link w:val="BodyText"/>
    <w:uiPriority w:val="99"/>
    <w:rsid w:val="007E360C"/>
    <w:rPr>
      <w:rFonts w:ascii="Times New Roman" w:eastAsia="Times New Roman" w:hAnsi="Times New Roman" w:cs="Times New Roman"/>
      <w:b/>
      <w:bCs/>
      <w:sz w:val="24"/>
      <w:szCs w:val="24"/>
    </w:rPr>
  </w:style>
  <w:style w:type="paragraph" w:styleId="Title">
    <w:name w:val="Title"/>
    <w:basedOn w:val="Normal"/>
    <w:next w:val="Normal"/>
    <w:link w:val="TitleChar"/>
    <w:uiPriority w:val="10"/>
    <w:qFormat/>
    <w:rsid w:val="007E360C"/>
    <w:pPr>
      <w:spacing w:before="240" w:after="60"/>
      <w:outlineLvl w:val="0"/>
    </w:pPr>
    <w:rPr>
      <w:rFonts w:ascii="Cambria" w:hAnsi="Cambria"/>
      <w:b/>
      <w:bCs/>
      <w:kern w:val="28"/>
      <w:sz w:val="32"/>
      <w:szCs w:val="32"/>
    </w:rPr>
  </w:style>
  <w:style w:type="character" w:customStyle="1" w:styleId="TitleChar">
    <w:name w:val="Title Char"/>
    <w:basedOn w:val="DefaultParagraphFont"/>
    <w:link w:val="Title"/>
    <w:uiPriority w:val="10"/>
    <w:rsid w:val="007E360C"/>
    <w:rPr>
      <w:rFonts w:ascii="Cambria" w:eastAsia="Times New Roman" w:hAnsi="Cambria" w:cs="Times New Roman"/>
      <w:b/>
      <w:bCs/>
      <w:kern w:val="28"/>
      <w:sz w:val="32"/>
      <w:szCs w:val="32"/>
      <w:lang w:eastAsia="pl-PL"/>
    </w:rPr>
  </w:style>
  <w:style w:type="paragraph" w:styleId="TOCHeading">
    <w:name w:val="TOC Heading"/>
    <w:basedOn w:val="Heading1"/>
    <w:next w:val="Normal"/>
    <w:uiPriority w:val="39"/>
    <w:unhideWhenUsed/>
    <w:qFormat/>
    <w:rsid w:val="007E360C"/>
    <w:pPr>
      <w:keepLines/>
      <w:spacing w:before="480" w:after="0" w:line="276" w:lineRule="auto"/>
      <w:outlineLvl w:val="9"/>
    </w:pPr>
    <w:rPr>
      <w:color w:val="365F91"/>
      <w:kern w:val="0"/>
      <w:sz w:val="28"/>
      <w:szCs w:val="28"/>
      <w:lang w:eastAsia="bg-BG"/>
    </w:rPr>
  </w:style>
  <w:style w:type="paragraph" w:styleId="TOC2">
    <w:name w:val="toc 2"/>
    <w:basedOn w:val="Normal"/>
    <w:next w:val="Normal"/>
    <w:autoRedefine/>
    <w:uiPriority w:val="39"/>
    <w:unhideWhenUsed/>
    <w:qFormat/>
    <w:rsid w:val="007E360C"/>
    <w:pPr>
      <w:tabs>
        <w:tab w:val="left" w:pos="800"/>
        <w:tab w:val="left" w:pos="1600"/>
        <w:tab w:val="right" w:leader="dot" w:pos="9498"/>
      </w:tabs>
      <w:spacing w:before="120"/>
      <w:ind w:left="993" w:firstLine="0"/>
      <w:jc w:val="left"/>
    </w:pPr>
    <w:rPr>
      <w:iCs/>
      <w:szCs w:val="24"/>
    </w:rPr>
  </w:style>
  <w:style w:type="paragraph" w:styleId="TOC1">
    <w:name w:val="toc 1"/>
    <w:basedOn w:val="Normal"/>
    <w:next w:val="Normal"/>
    <w:autoRedefine/>
    <w:uiPriority w:val="39"/>
    <w:unhideWhenUsed/>
    <w:qFormat/>
    <w:rsid w:val="007E360C"/>
    <w:pPr>
      <w:spacing w:before="240" w:after="120"/>
      <w:ind w:left="851" w:firstLine="0"/>
      <w:jc w:val="left"/>
    </w:pPr>
    <w:rPr>
      <w:rFonts w:asciiTheme="minorHAnsi" w:hAnsiTheme="minorHAnsi"/>
      <w:b/>
      <w:bCs/>
    </w:rPr>
  </w:style>
  <w:style w:type="paragraph" w:styleId="TOC3">
    <w:name w:val="toc 3"/>
    <w:basedOn w:val="Normal"/>
    <w:next w:val="Normal"/>
    <w:autoRedefine/>
    <w:uiPriority w:val="39"/>
    <w:unhideWhenUsed/>
    <w:qFormat/>
    <w:rsid w:val="00042BFD"/>
    <w:pPr>
      <w:tabs>
        <w:tab w:val="left" w:pos="1600"/>
        <w:tab w:val="right" w:leader="dot" w:pos="9627"/>
      </w:tabs>
      <w:ind w:left="993" w:firstLine="0"/>
    </w:pPr>
    <w:rPr>
      <w:rFonts w:asciiTheme="minorHAnsi" w:hAnsiTheme="minorHAnsi"/>
    </w:rPr>
  </w:style>
  <w:style w:type="character" w:customStyle="1" w:styleId="Heading3Char2">
    <w:name w:val="Heading 3 Char2"/>
    <w:aliases w:val="Heading 2 Char Char + Bookman Old Style Char3,Gris - 80 % Char3,Gauche :  2 Char3,97 ... Char3,Címsor 3 Char Char1"/>
    <w:link w:val="Heading3"/>
    <w:uiPriority w:val="9"/>
    <w:locked/>
    <w:rsid w:val="007E360C"/>
    <w:rPr>
      <w:rFonts w:ascii="Cambria" w:eastAsia="Times New Roman" w:hAnsi="Cambria" w:cs="Times New Roman"/>
      <w:b/>
      <w:bCs/>
      <w:color w:val="4F81BD"/>
      <w:sz w:val="24"/>
      <w:szCs w:val="20"/>
      <w:lang w:eastAsia="pl-PL"/>
    </w:rPr>
  </w:style>
  <w:style w:type="paragraph" w:styleId="ListParagraph">
    <w:name w:val="List Paragraph"/>
    <w:aliases w:val="Normal List,Списък на абзаци,Endnote,Indent,ПАРАГРАФ,Гл точки,punto elenco,bullet2"/>
    <w:basedOn w:val="Normal"/>
    <w:link w:val="ListParagraphChar"/>
    <w:uiPriority w:val="34"/>
    <w:qFormat/>
    <w:rsid w:val="007E360C"/>
    <w:pPr>
      <w:ind w:left="720"/>
      <w:contextualSpacing/>
    </w:pPr>
  </w:style>
  <w:style w:type="character" w:styleId="CommentReference">
    <w:name w:val="annotation reference"/>
    <w:uiPriority w:val="99"/>
    <w:unhideWhenUsed/>
    <w:rsid w:val="007E360C"/>
    <w:rPr>
      <w:sz w:val="16"/>
    </w:rPr>
  </w:style>
  <w:style w:type="paragraph" w:styleId="CommentText">
    <w:name w:val="annotation text"/>
    <w:basedOn w:val="Normal"/>
    <w:link w:val="CommentTextChar"/>
    <w:uiPriority w:val="99"/>
    <w:unhideWhenUsed/>
    <w:rsid w:val="007E360C"/>
  </w:style>
  <w:style w:type="character" w:customStyle="1" w:styleId="CommentTextChar">
    <w:name w:val="Comment Text Char"/>
    <w:basedOn w:val="DefaultParagraphFont"/>
    <w:link w:val="CommentText"/>
    <w:uiPriority w:val="99"/>
    <w:rsid w:val="007E360C"/>
    <w:rPr>
      <w:rFonts w:ascii="Times New Roman" w:eastAsia="Times New Roman" w:hAnsi="Times New Roman" w:cs="Times New Roman"/>
      <w:sz w:val="24"/>
      <w:szCs w:val="20"/>
      <w:lang w:eastAsia="pl-PL"/>
    </w:rPr>
  </w:style>
  <w:style w:type="paragraph" w:customStyle="1" w:styleId="BodyText21">
    <w:name w:val="Body Text 21"/>
    <w:basedOn w:val="Normal"/>
    <w:rsid w:val="007E360C"/>
  </w:style>
  <w:style w:type="paragraph" w:styleId="TOC4">
    <w:name w:val="toc 4"/>
    <w:basedOn w:val="Normal"/>
    <w:next w:val="Normal"/>
    <w:autoRedefine/>
    <w:uiPriority w:val="39"/>
    <w:rsid w:val="007E360C"/>
    <w:pPr>
      <w:ind w:left="600"/>
      <w:jc w:val="left"/>
    </w:pPr>
    <w:rPr>
      <w:rFonts w:asciiTheme="minorHAnsi" w:hAnsiTheme="minorHAnsi"/>
    </w:rPr>
  </w:style>
  <w:style w:type="paragraph" w:styleId="TOC5">
    <w:name w:val="toc 5"/>
    <w:basedOn w:val="Normal"/>
    <w:next w:val="Normal"/>
    <w:autoRedefine/>
    <w:uiPriority w:val="39"/>
    <w:rsid w:val="007E360C"/>
    <w:pPr>
      <w:ind w:left="800"/>
      <w:jc w:val="left"/>
    </w:pPr>
    <w:rPr>
      <w:rFonts w:asciiTheme="minorHAnsi" w:hAnsiTheme="minorHAnsi"/>
    </w:rPr>
  </w:style>
  <w:style w:type="paragraph" w:styleId="BodyText3">
    <w:name w:val="Body Text 3"/>
    <w:basedOn w:val="Normal"/>
    <w:link w:val="BodyText3Char"/>
    <w:uiPriority w:val="99"/>
    <w:rsid w:val="007E360C"/>
  </w:style>
  <w:style w:type="character" w:customStyle="1" w:styleId="BodyText3Char">
    <w:name w:val="Body Text 3 Char"/>
    <w:basedOn w:val="DefaultParagraphFont"/>
    <w:link w:val="BodyText3"/>
    <w:uiPriority w:val="99"/>
    <w:rsid w:val="007E360C"/>
    <w:rPr>
      <w:rFonts w:ascii="Times New Roman" w:eastAsia="Times New Roman" w:hAnsi="Times New Roman" w:cs="Times New Roman"/>
      <w:sz w:val="24"/>
      <w:szCs w:val="20"/>
      <w:lang w:eastAsia="pl-PL"/>
    </w:rPr>
  </w:style>
  <w:style w:type="paragraph" w:customStyle="1" w:styleId="Styl1">
    <w:name w:val="Styl1"/>
    <w:basedOn w:val="NormalIndent"/>
    <w:rsid w:val="007E360C"/>
    <w:pPr>
      <w:widowControl/>
      <w:tabs>
        <w:tab w:val="num" w:pos="360"/>
      </w:tabs>
      <w:spacing w:before="200" w:line="320" w:lineRule="atLeast"/>
      <w:ind w:left="360" w:hanging="360"/>
    </w:pPr>
    <w:rPr>
      <w:rFonts w:ascii="Bookman Old Style" w:hAnsi="Bookman Old Style"/>
      <w:sz w:val="18"/>
    </w:rPr>
  </w:style>
  <w:style w:type="paragraph" w:styleId="NormalIndent">
    <w:name w:val="Normal Indent"/>
    <w:aliases w:val="Normal Indent Char"/>
    <w:basedOn w:val="Normal"/>
    <w:uiPriority w:val="99"/>
    <w:rsid w:val="007E360C"/>
    <w:pPr>
      <w:widowControl w:val="0"/>
      <w:numPr>
        <w:numId w:val="4"/>
      </w:numPr>
      <w:tabs>
        <w:tab w:val="clear" w:pos="360"/>
      </w:tabs>
      <w:ind w:left="708" w:firstLine="0"/>
    </w:pPr>
  </w:style>
  <w:style w:type="paragraph" w:styleId="BodyText2">
    <w:name w:val="Body Text 2"/>
    <w:basedOn w:val="Normal"/>
    <w:link w:val="BodyText2Char"/>
    <w:uiPriority w:val="99"/>
    <w:rsid w:val="007E360C"/>
    <w:pPr>
      <w:widowControl w:val="0"/>
    </w:pPr>
    <w:rPr>
      <w:i/>
      <w:u w:val="single"/>
    </w:rPr>
  </w:style>
  <w:style w:type="character" w:customStyle="1" w:styleId="BodyText2Char">
    <w:name w:val="Body Text 2 Char"/>
    <w:basedOn w:val="DefaultParagraphFont"/>
    <w:link w:val="BodyText2"/>
    <w:uiPriority w:val="99"/>
    <w:rsid w:val="007E360C"/>
    <w:rPr>
      <w:rFonts w:ascii="Times New Roman" w:eastAsia="Times New Roman" w:hAnsi="Times New Roman" w:cs="Times New Roman"/>
      <w:i/>
      <w:sz w:val="24"/>
      <w:szCs w:val="20"/>
      <w:u w:val="single"/>
      <w:lang w:eastAsia="pl-PL"/>
    </w:rPr>
  </w:style>
  <w:style w:type="paragraph" w:customStyle="1" w:styleId="NumPar1">
    <w:name w:val="NumPar 1"/>
    <w:basedOn w:val="Normal"/>
    <w:next w:val="Normal"/>
    <w:link w:val="NumPar1Tegn"/>
    <w:rsid w:val="007E360C"/>
    <w:pPr>
      <w:tabs>
        <w:tab w:val="num" w:pos="360"/>
      </w:tabs>
      <w:spacing w:before="120" w:after="120"/>
      <w:ind w:left="360" w:hanging="360"/>
    </w:pPr>
    <w:rPr>
      <w:lang w:val="en-GB"/>
    </w:rPr>
  </w:style>
  <w:style w:type="paragraph" w:customStyle="1" w:styleId="a">
    <w:name w:val="ŚŚ"/>
    <w:basedOn w:val="Normal"/>
    <w:rsid w:val="007E360C"/>
    <w:pPr>
      <w:spacing w:line="360" w:lineRule="auto"/>
    </w:pPr>
  </w:style>
  <w:style w:type="paragraph" w:customStyle="1" w:styleId="BodyText23">
    <w:name w:val="Body Text 23"/>
    <w:rsid w:val="007E360C"/>
    <w:pPr>
      <w:widowControl w:val="0"/>
      <w:tabs>
        <w:tab w:val="left" w:pos="360"/>
      </w:tabs>
      <w:spacing w:after="0" w:line="240" w:lineRule="auto"/>
      <w:jc w:val="both"/>
    </w:pPr>
    <w:rPr>
      <w:rFonts w:ascii="Times New Roman" w:eastAsia="Times New Roman" w:hAnsi="Times New Roman" w:cs="Times New Roman"/>
      <w:sz w:val="24"/>
      <w:szCs w:val="20"/>
      <w:lang w:val="pl-PL" w:eastAsia="pl-PL"/>
    </w:rPr>
  </w:style>
  <w:style w:type="paragraph" w:styleId="BodyTextIndent">
    <w:name w:val="Body Text Indent"/>
    <w:basedOn w:val="BodyText"/>
    <w:link w:val="BodyTextIndentChar"/>
    <w:uiPriority w:val="99"/>
    <w:rsid w:val="007E360C"/>
    <w:pPr>
      <w:spacing w:after="160"/>
      <w:ind w:left="360"/>
      <w:jc w:val="left"/>
    </w:pPr>
    <w:rPr>
      <w:b w:val="0"/>
      <w:bCs w:val="0"/>
      <w:sz w:val="20"/>
      <w:szCs w:val="20"/>
      <w:lang w:eastAsia="pl-PL"/>
    </w:rPr>
  </w:style>
  <w:style w:type="character" w:customStyle="1" w:styleId="BodyTextIndentChar">
    <w:name w:val="Body Text Indent Char"/>
    <w:basedOn w:val="DefaultParagraphFont"/>
    <w:link w:val="BodyTextIndent"/>
    <w:uiPriority w:val="99"/>
    <w:rsid w:val="007E360C"/>
    <w:rPr>
      <w:rFonts w:ascii="Times New Roman" w:eastAsia="Times New Roman" w:hAnsi="Times New Roman" w:cs="Times New Roman"/>
      <w:sz w:val="20"/>
      <w:szCs w:val="20"/>
      <w:lang w:eastAsia="pl-PL"/>
    </w:rPr>
  </w:style>
  <w:style w:type="paragraph" w:styleId="BodyTextIndent3">
    <w:name w:val="Body Text Indent 3"/>
    <w:basedOn w:val="Normal"/>
    <w:link w:val="BodyTextIndent3Char"/>
    <w:uiPriority w:val="99"/>
    <w:rsid w:val="007E360C"/>
    <w:pPr>
      <w:widowControl w:val="0"/>
      <w:shd w:val="clear" w:color="auto" w:fill="FFFFFF"/>
      <w:spacing w:line="274" w:lineRule="exact"/>
      <w:ind w:left="67"/>
    </w:pPr>
    <w:rPr>
      <w:color w:val="000000"/>
    </w:rPr>
  </w:style>
  <w:style w:type="character" w:customStyle="1" w:styleId="BodyTextIndent3Char">
    <w:name w:val="Body Text Indent 3 Char"/>
    <w:basedOn w:val="DefaultParagraphFont"/>
    <w:link w:val="BodyTextIndent3"/>
    <w:uiPriority w:val="99"/>
    <w:rsid w:val="007E360C"/>
    <w:rPr>
      <w:rFonts w:ascii="Times New Roman" w:eastAsia="Times New Roman" w:hAnsi="Times New Roman" w:cs="Times New Roman"/>
      <w:color w:val="000000"/>
      <w:sz w:val="24"/>
      <w:szCs w:val="20"/>
      <w:shd w:val="clear" w:color="auto" w:fill="FFFFFF"/>
      <w:lang w:eastAsia="pl-PL"/>
    </w:rPr>
  </w:style>
  <w:style w:type="paragraph" w:styleId="BodyTextIndent2">
    <w:name w:val="Body Text Indent 2"/>
    <w:basedOn w:val="Normal"/>
    <w:link w:val="BodyTextIndent2Char"/>
    <w:uiPriority w:val="99"/>
    <w:rsid w:val="007E360C"/>
    <w:pPr>
      <w:ind w:left="567"/>
      <w:outlineLvl w:val="0"/>
    </w:pPr>
  </w:style>
  <w:style w:type="character" w:customStyle="1" w:styleId="BodyTextIndent2Char">
    <w:name w:val="Body Text Indent 2 Char"/>
    <w:basedOn w:val="DefaultParagraphFont"/>
    <w:link w:val="BodyTextIndent2"/>
    <w:uiPriority w:val="99"/>
    <w:rsid w:val="007E360C"/>
    <w:rPr>
      <w:rFonts w:ascii="Times New Roman" w:eastAsia="Times New Roman" w:hAnsi="Times New Roman" w:cs="Times New Roman"/>
      <w:sz w:val="24"/>
      <w:szCs w:val="20"/>
      <w:lang w:eastAsia="pl-PL"/>
    </w:rPr>
  </w:style>
  <w:style w:type="paragraph" w:styleId="BlockText">
    <w:name w:val="Block Text"/>
    <w:basedOn w:val="Normal"/>
    <w:uiPriority w:val="99"/>
    <w:rsid w:val="007E360C"/>
    <w:pPr>
      <w:widowControl w:val="0"/>
      <w:shd w:val="clear" w:color="auto" w:fill="FFFFFF"/>
      <w:spacing w:before="43" w:line="278" w:lineRule="exact"/>
      <w:ind w:left="24" w:right="38"/>
    </w:pPr>
    <w:rPr>
      <w:color w:val="000000"/>
    </w:rPr>
  </w:style>
  <w:style w:type="character" w:styleId="PageNumber">
    <w:name w:val="page number"/>
    <w:uiPriority w:val="99"/>
    <w:rsid w:val="007E360C"/>
    <w:rPr>
      <w:rFonts w:cs="Times New Roman"/>
    </w:rPr>
  </w:style>
  <w:style w:type="paragraph" w:styleId="TOC7">
    <w:name w:val="toc 7"/>
    <w:basedOn w:val="Normal"/>
    <w:next w:val="Normal"/>
    <w:autoRedefine/>
    <w:uiPriority w:val="39"/>
    <w:rsid w:val="007E360C"/>
    <w:pPr>
      <w:ind w:left="1200"/>
      <w:jc w:val="left"/>
    </w:pPr>
    <w:rPr>
      <w:rFonts w:asciiTheme="minorHAnsi" w:hAnsiTheme="minorHAnsi"/>
    </w:rPr>
  </w:style>
  <w:style w:type="paragraph" w:styleId="TOC8">
    <w:name w:val="toc 8"/>
    <w:basedOn w:val="Normal"/>
    <w:next w:val="Normal"/>
    <w:autoRedefine/>
    <w:uiPriority w:val="39"/>
    <w:rsid w:val="007E360C"/>
    <w:pPr>
      <w:ind w:left="1400"/>
      <w:jc w:val="left"/>
    </w:pPr>
    <w:rPr>
      <w:rFonts w:asciiTheme="minorHAnsi" w:hAnsiTheme="minorHAnsi"/>
    </w:rPr>
  </w:style>
  <w:style w:type="character" w:styleId="FollowedHyperlink">
    <w:name w:val="FollowedHyperlink"/>
    <w:uiPriority w:val="99"/>
    <w:rsid w:val="007E360C"/>
    <w:rPr>
      <w:color w:val="800080"/>
      <w:u w:val="single"/>
    </w:rPr>
  </w:style>
  <w:style w:type="paragraph" w:customStyle="1" w:styleId="pkt">
    <w:name w:val="pkt"/>
    <w:basedOn w:val="Normal"/>
    <w:rsid w:val="007E360C"/>
    <w:pPr>
      <w:overflowPunct w:val="0"/>
      <w:adjustRightInd w:val="0"/>
      <w:spacing w:before="60" w:after="60"/>
      <w:ind w:left="851" w:hanging="295"/>
    </w:pPr>
  </w:style>
  <w:style w:type="paragraph" w:customStyle="1" w:styleId="ust">
    <w:name w:val="ust"/>
    <w:rsid w:val="007E360C"/>
    <w:pPr>
      <w:overflowPunct w:val="0"/>
      <w:adjustRightInd w:val="0"/>
      <w:spacing w:before="60" w:after="60" w:line="240" w:lineRule="auto"/>
      <w:ind w:left="426" w:hanging="284"/>
      <w:jc w:val="both"/>
    </w:pPr>
    <w:rPr>
      <w:rFonts w:ascii="Times New Roman" w:eastAsia="Times New Roman" w:hAnsi="Times New Roman" w:cs="Times New Roman"/>
      <w:sz w:val="24"/>
      <w:szCs w:val="20"/>
      <w:lang w:val="pl-PL" w:eastAsia="pl-PL"/>
    </w:rPr>
  </w:style>
  <w:style w:type="paragraph" w:styleId="NormalWeb">
    <w:name w:val="Normal (Web)"/>
    <w:basedOn w:val="Normal"/>
    <w:link w:val="NormalWebChar"/>
    <w:uiPriority w:val="99"/>
    <w:rsid w:val="007E360C"/>
    <w:pPr>
      <w:spacing w:before="100" w:beforeAutospacing="1" w:after="100" w:afterAutospacing="1"/>
    </w:pPr>
    <w:rPr>
      <w:rFonts w:ascii="Verdana" w:eastAsia="Arial Unicode MS" w:hAnsi="Verdana" w:cs="Arial Unicode MS"/>
      <w:color w:val="000000"/>
      <w:sz w:val="18"/>
      <w:szCs w:val="18"/>
    </w:rPr>
  </w:style>
  <w:style w:type="character" w:customStyle="1" w:styleId="tw4winTerm">
    <w:name w:val="tw4winTerm"/>
    <w:rsid w:val="007E360C"/>
    <w:rPr>
      <w:color w:val="0000FF"/>
    </w:rPr>
  </w:style>
  <w:style w:type="paragraph" w:styleId="TOC9">
    <w:name w:val="toc 9"/>
    <w:basedOn w:val="Normal"/>
    <w:next w:val="Normal"/>
    <w:autoRedefine/>
    <w:uiPriority w:val="39"/>
    <w:rsid w:val="007E360C"/>
    <w:pPr>
      <w:ind w:left="1600"/>
      <w:jc w:val="left"/>
    </w:pPr>
    <w:rPr>
      <w:rFonts w:asciiTheme="minorHAnsi" w:hAnsiTheme="minorHAnsi"/>
    </w:rPr>
  </w:style>
  <w:style w:type="paragraph" w:styleId="TOC6">
    <w:name w:val="toc 6"/>
    <w:basedOn w:val="Normal"/>
    <w:next w:val="Normal"/>
    <w:autoRedefine/>
    <w:uiPriority w:val="39"/>
    <w:rsid w:val="007E360C"/>
    <w:pPr>
      <w:ind w:left="1000"/>
      <w:jc w:val="left"/>
    </w:pPr>
    <w:rPr>
      <w:rFonts w:asciiTheme="minorHAnsi" w:hAnsiTheme="minorHAnsi"/>
    </w:rPr>
  </w:style>
  <w:style w:type="paragraph" w:customStyle="1" w:styleId="EntEmet">
    <w:name w:val="EntEmet"/>
    <w:basedOn w:val="Normal"/>
    <w:rsid w:val="007E360C"/>
    <w:pPr>
      <w:widowControl w:val="0"/>
      <w:tabs>
        <w:tab w:val="left" w:pos="284"/>
        <w:tab w:val="left" w:pos="567"/>
        <w:tab w:val="left" w:pos="851"/>
        <w:tab w:val="left" w:pos="1134"/>
        <w:tab w:val="left" w:pos="1418"/>
      </w:tabs>
      <w:spacing w:before="40"/>
    </w:pPr>
    <w:rPr>
      <w:lang w:val="en-GB" w:eastAsia="fr-BE"/>
    </w:rPr>
  </w:style>
  <w:style w:type="paragraph" w:customStyle="1" w:styleId="EntRefer">
    <w:name w:val="EntRefer"/>
    <w:basedOn w:val="Normal"/>
    <w:rsid w:val="007E360C"/>
    <w:pPr>
      <w:widowControl w:val="0"/>
    </w:pPr>
    <w:rPr>
      <w:b/>
      <w:lang w:val="en-GB" w:eastAsia="fr-BE"/>
    </w:rPr>
  </w:style>
  <w:style w:type="character" w:customStyle="1" w:styleId="Marker">
    <w:name w:val="Marker"/>
    <w:rsid w:val="007E360C"/>
    <w:rPr>
      <w:color w:val="0000FF"/>
    </w:rPr>
  </w:style>
  <w:style w:type="paragraph" w:customStyle="1" w:styleId="Datedadoption">
    <w:name w:val="Date d'adoption"/>
    <w:basedOn w:val="Normal"/>
    <w:next w:val="Normal"/>
    <w:rsid w:val="007E360C"/>
    <w:pPr>
      <w:spacing w:before="360"/>
    </w:pPr>
    <w:rPr>
      <w:b/>
      <w:lang w:val="en-GB" w:eastAsia="zh-CN"/>
    </w:rPr>
  </w:style>
  <w:style w:type="paragraph" w:customStyle="1" w:styleId="Statut">
    <w:name w:val="Statut"/>
    <w:basedOn w:val="Normal"/>
    <w:next w:val="Typedudocument"/>
    <w:rsid w:val="007E360C"/>
    <w:pPr>
      <w:spacing w:before="360"/>
    </w:pPr>
    <w:rPr>
      <w:lang w:val="en-GB" w:eastAsia="zh-CN"/>
    </w:rPr>
  </w:style>
  <w:style w:type="paragraph" w:customStyle="1" w:styleId="Typedudocument">
    <w:name w:val="Type du document"/>
    <w:basedOn w:val="Normal"/>
    <w:next w:val="Datedadoption"/>
    <w:rsid w:val="007E360C"/>
    <w:pPr>
      <w:spacing w:before="360"/>
    </w:pPr>
    <w:rPr>
      <w:b/>
      <w:lang w:val="en-GB" w:eastAsia="zh-CN"/>
    </w:rPr>
  </w:style>
  <w:style w:type="paragraph" w:customStyle="1" w:styleId="CharCharChar">
    <w:name w:val="Char Char Char"/>
    <w:basedOn w:val="Normal"/>
    <w:rsid w:val="007E360C"/>
    <w:pPr>
      <w:tabs>
        <w:tab w:val="left" w:pos="709"/>
      </w:tabs>
    </w:pPr>
    <w:rPr>
      <w:rFonts w:ascii="Tahoma" w:hAnsi="Tahoma"/>
      <w:szCs w:val="24"/>
    </w:rPr>
  </w:style>
  <w:style w:type="paragraph" w:customStyle="1" w:styleId="Tiret1">
    <w:name w:val="Tiret 1"/>
    <w:basedOn w:val="Normal"/>
    <w:rsid w:val="007E360C"/>
    <w:pPr>
      <w:tabs>
        <w:tab w:val="num" w:pos="360"/>
      </w:tabs>
      <w:spacing w:before="120" w:after="120"/>
      <w:ind w:left="360" w:hanging="360"/>
    </w:pPr>
    <w:rPr>
      <w:lang w:val="en-GB" w:eastAsia="ko-KR"/>
    </w:rPr>
  </w:style>
  <w:style w:type="paragraph" w:customStyle="1" w:styleId="CharCharCharCharCharCharCharCharCharCharCharCharCharCharCharCharCharCharCharCharChar1CharCharCharCharCharCharCharCharCharCharCharChar1CharCharChar1CharCharCharCharCharChar">
    <w:name w:val="Char Char Char Char Char Char Char Char Char Char Char Char Char Char Char Char Char Char Char Char Char1 Char Char Char Char Char Char Char Char Char Char Char Char1 Char Char Char1 Char Char Char Char Char Char"/>
    <w:basedOn w:val="Normal"/>
    <w:rsid w:val="007E360C"/>
    <w:pPr>
      <w:tabs>
        <w:tab w:val="left" w:pos="709"/>
      </w:tabs>
      <w:spacing w:line="360" w:lineRule="auto"/>
    </w:pPr>
    <w:rPr>
      <w:rFonts w:ascii="Tahoma" w:hAnsi="Tahoma"/>
      <w:szCs w:val="24"/>
    </w:rPr>
  </w:style>
  <w:style w:type="paragraph" w:customStyle="1" w:styleId="TextinCSF">
    <w:name w:val="Text in CSF"/>
    <w:basedOn w:val="Normal"/>
    <w:rsid w:val="007E360C"/>
    <w:pPr>
      <w:overflowPunct w:val="0"/>
      <w:autoSpaceDE w:val="0"/>
      <w:autoSpaceDN w:val="0"/>
      <w:adjustRightInd w:val="0"/>
      <w:spacing w:after="120"/>
      <w:ind w:left="720"/>
      <w:textAlignment w:val="baseline"/>
    </w:pPr>
    <w:rPr>
      <w:lang w:val="en-GB" w:eastAsia="hu-HU"/>
    </w:rPr>
  </w:style>
  <w:style w:type="paragraph" w:customStyle="1" w:styleId="NormalWeb1">
    <w:name w:val="Normal (Web)1"/>
    <w:basedOn w:val="Normal"/>
    <w:rsid w:val="007E360C"/>
    <w:pPr>
      <w:spacing w:before="100" w:beforeAutospacing="1" w:after="100" w:afterAutospacing="1"/>
    </w:pPr>
    <w:rPr>
      <w:rFonts w:ascii="Verdana" w:hAnsi="Verdana"/>
      <w:color w:val="000000"/>
      <w:sz w:val="17"/>
      <w:szCs w:val="17"/>
      <w:lang w:eastAsia="bg-BG"/>
    </w:rPr>
  </w:style>
  <w:style w:type="table" w:customStyle="1" w:styleId="TableGrid1">
    <w:name w:val="Table Grid1"/>
    <w:basedOn w:val="TableNormal"/>
    <w:next w:val="TableGrid"/>
    <w:rsid w:val="007E360C"/>
    <w:pPr>
      <w:spacing w:before="120" w:after="0" w:line="240" w:lineRule="auto"/>
      <w:jc w:val="both"/>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Text">
    <w:name w:val="Default Text"/>
    <w:basedOn w:val="Normal"/>
    <w:rsid w:val="007E360C"/>
    <w:pPr>
      <w:autoSpaceDE w:val="0"/>
      <w:autoSpaceDN w:val="0"/>
      <w:adjustRightInd w:val="0"/>
    </w:pPr>
    <w:rPr>
      <w:lang w:val="en-US" w:eastAsia="fr-FR"/>
    </w:rPr>
  </w:style>
  <w:style w:type="character" w:customStyle="1" w:styleId="CharChar">
    <w:name w:val="Char Char"/>
    <w:rsid w:val="007E360C"/>
    <w:rPr>
      <w:b/>
      <w:color w:val="FF0000"/>
      <w:sz w:val="24"/>
      <w:lang w:val="en-US" w:eastAsia="bg-BG"/>
    </w:rPr>
  </w:style>
  <w:style w:type="paragraph" w:styleId="Caption">
    <w:name w:val="caption"/>
    <w:basedOn w:val="Normal"/>
    <w:next w:val="Normal"/>
    <w:uiPriority w:val="35"/>
    <w:qFormat/>
    <w:rsid w:val="007E360C"/>
    <w:rPr>
      <w:b/>
      <w:bCs/>
      <w:lang w:eastAsia="bg-BG"/>
    </w:rPr>
  </w:style>
  <w:style w:type="paragraph" w:customStyle="1" w:styleId="Style">
    <w:name w:val="Style"/>
    <w:rsid w:val="007E360C"/>
    <w:pPr>
      <w:widowControl w:val="0"/>
      <w:autoSpaceDE w:val="0"/>
      <w:autoSpaceDN w:val="0"/>
      <w:adjustRightInd w:val="0"/>
      <w:spacing w:after="0" w:line="240" w:lineRule="auto"/>
      <w:ind w:left="140" w:right="140" w:firstLine="840"/>
      <w:jc w:val="both"/>
    </w:pPr>
    <w:rPr>
      <w:rFonts w:ascii="Times New Roman" w:eastAsia="Times New Roman" w:hAnsi="Times New Roman" w:cs="Times New Roman"/>
      <w:sz w:val="24"/>
      <w:szCs w:val="24"/>
      <w:lang w:eastAsia="bg-BG"/>
    </w:rPr>
  </w:style>
  <w:style w:type="paragraph" w:customStyle="1" w:styleId="zaglawie">
    <w:name w:val="zaglawie"/>
    <w:basedOn w:val="Normal"/>
    <w:rsid w:val="007E360C"/>
    <w:pPr>
      <w:spacing w:before="100" w:after="100"/>
      <w:ind w:left="200"/>
    </w:pPr>
    <w:rPr>
      <w:b/>
      <w:bCs/>
      <w:color w:val="000000"/>
      <w:sz w:val="28"/>
      <w:szCs w:val="28"/>
      <w:lang w:eastAsia="bg-BG"/>
    </w:rPr>
  </w:style>
  <w:style w:type="paragraph" w:customStyle="1" w:styleId="firstline">
    <w:name w:val="firstline"/>
    <w:basedOn w:val="Normal"/>
    <w:rsid w:val="007E360C"/>
    <w:pPr>
      <w:spacing w:line="240" w:lineRule="atLeast"/>
      <w:ind w:firstLine="640"/>
    </w:pPr>
    <w:rPr>
      <w:color w:val="000000"/>
      <w:szCs w:val="24"/>
      <w:lang w:eastAsia="bg-BG"/>
    </w:rPr>
  </w:style>
  <w:style w:type="paragraph" w:customStyle="1" w:styleId="text11">
    <w:name w:val="text11"/>
    <w:basedOn w:val="Normal"/>
    <w:rsid w:val="007E360C"/>
    <w:pPr>
      <w:spacing w:after="100" w:afterAutospacing="1"/>
    </w:pPr>
    <w:rPr>
      <w:rFonts w:ascii="Verdana" w:hAnsi="Verdana"/>
      <w:color w:val="333333"/>
      <w:sz w:val="17"/>
      <w:szCs w:val="17"/>
      <w:lang w:eastAsia="bg-BG"/>
    </w:rPr>
  </w:style>
  <w:style w:type="paragraph" w:customStyle="1" w:styleId="Text1">
    <w:name w:val="Text 1"/>
    <w:basedOn w:val="Normal"/>
    <w:rsid w:val="007E360C"/>
    <w:pPr>
      <w:spacing w:after="240"/>
      <w:ind w:left="482"/>
    </w:pPr>
    <w:rPr>
      <w:lang w:val="en-GB" w:eastAsia="en-US"/>
    </w:rPr>
  </w:style>
  <w:style w:type="paragraph" w:customStyle="1" w:styleId="Text2">
    <w:name w:val="Text 2"/>
    <w:basedOn w:val="Normal"/>
    <w:rsid w:val="007E360C"/>
    <w:pPr>
      <w:tabs>
        <w:tab w:val="left" w:pos="2302"/>
      </w:tabs>
      <w:spacing w:after="240"/>
      <w:ind w:left="1202"/>
    </w:pPr>
    <w:rPr>
      <w:lang w:val="en-GB" w:eastAsia="en-US"/>
    </w:rPr>
  </w:style>
  <w:style w:type="paragraph" w:customStyle="1" w:styleId="Text3">
    <w:name w:val="Text 3"/>
    <w:basedOn w:val="Normal"/>
    <w:rsid w:val="007E360C"/>
    <w:pPr>
      <w:tabs>
        <w:tab w:val="left" w:pos="2302"/>
      </w:tabs>
      <w:spacing w:after="240"/>
      <w:ind w:left="1202"/>
    </w:pPr>
    <w:rPr>
      <w:lang w:val="en-GB" w:eastAsia="en-US"/>
    </w:rPr>
  </w:style>
  <w:style w:type="paragraph" w:customStyle="1" w:styleId="ListNumberLevel2">
    <w:name w:val="List Number (Level 2)"/>
    <w:basedOn w:val="Normal"/>
    <w:rsid w:val="007E360C"/>
    <w:pPr>
      <w:spacing w:after="240"/>
    </w:pPr>
    <w:rPr>
      <w:lang w:val="en-GB" w:eastAsia="en-US"/>
    </w:rPr>
  </w:style>
  <w:style w:type="paragraph" w:customStyle="1" w:styleId="Normal-bullet1">
    <w:name w:val="Normal-bullet1"/>
    <w:basedOn w:val="Normal"/>
    <w:rsid w:val="007E360C"/>
    <w:pPr>
      <w:widowControl w:val="0"/>
      <w:numPr>
        <w:numId w:val="6"/>
      </w:numPr>
      <w:tabs>
        <w:tab w:val="left" w:pos="432"/>
        <w:tab w:val="left" w:pos="1152"/>
        <w:tab w:val="left" w:pos="1440"/>
      </w:tabs>
    </w:pPr>
    <w:rPr>
      <w:spacing w:val="-8"/>
      <w:lang w:val="en-GB" w:eastAsia="en-GB"/>
    </w:rPr>
  </w:style>
  <w:style w:type="paragraph" w:customStyle="1" w:styleId="BodyText31">
    <w:name w:val="Body Text 31"/>
    <w:basedOn w:val="Normal"/>
    <w:rsid w:val="007E360C"/>
    <w:pPr>
      <w:overflowPunct w:val="0"/>
      <w:autoSpaceDE w:val="0"/>
      <w:autoSpaceDN w:val="0"/>
      <w:adjustRightInd w:val="0"/>
      <w:textAlignment w:val="baseline"/>
    </w:pPr>
    <w:rPr>
      <w:lang w:val="en-GB" w:eastAsia="hu-HU"/>
    </w:rPr>
  </w:style>
  <w:style w:type="paragraph" w:customStyle="1" w:styleId="NumPar2">
    <w:name w:val="NumPar 2"/>
    <w:basedOn w:val="Normal"/>
    <w:next w:val="Text2"/>
    <w:rsid w:val="007E360C"/>
    <w:pPr>
      <w:tabs>
        <w:tab w:val="num" w:pos="850"/>
      </w:tabs>
      <w:spacing w:before="120" w:after="120"/>
      <w:ind w:left="850" w:hanging="850"/>
    </w:pPr>
    <w:rPr>
      <w:lang w:val="en-GB" w:eastAsia="zh-CN"/>
    </w:rPr>
  </w:style>
  <w:style w:type="paragraph" w:customStyle="1" w:styleId="NumPar3">
    <w:name w:val="NumPar 3"/>
    <w:basedOn w:val="Normal"/>
    <w:next w:val="Text3"/>
    <w:rsid w:val="007E360C"/>
    <w:pPr>
      <w:tabs>
        <w:tab w:val="num" w:pos="850"/>
      </w:tabs>
      <w:spacing w:before="120" w:after="120"/>
      <w:ind w:left="850" w:hanging="850"/>
    </w:pPr>
    <w:rPr>
      <w:lang w:val="en-GB" w:eastAsia="zh-CN"/>
    </w:rPr>
  </w:style>
  <w:style w:type="paragraph" w:customStyle="1" w:styleId="NumPar4">
    <w:name w:val="NumPar 4"/>
    <w:basedOn w:val="Normal"/>
    <w:next w:val="Normal"/>
    <w:rsid w:val="007E360C"/>
    <w:pPr>
      <w:tabs>
        <w:tab w:val="num" w:pos="850"/>
      </w:tabs>
      <w:spacing w:before="120" w:after="120"/>
      <w:ind w:left="850" w:hanging="850"/>
    </w:pPr>
    <w:rPr>
      <w:lang w:val="en-GB" w:eastAsia="zh-CN"/>
    </w:rPr>
  </w:style>
  <w:style w:type="paragraph" w:customStyle="1" w:styleId="Titrearticle">
    <w:name w:val="Titre article"/>
    <w:basedOn w:val="Normal"/>
    <w:next w:val="Normal"/>
    <w:rsid w:val="007E360C"/>
    <w:pPr>
      <w:keepNext/>
      <w:spacing w:before="360" w:after="120"/>
    </w:pPr>
    <w:rPr>
      <w:i/>
      <w:lang w:val="en-GB" w:eastAsia="zh-CN"/>
    </w:rPr>
  </w:style>
  <w:style w:type="paragraph" w:customStyle="1" w:styleId="TableText">
    <w:name w:val="Table Text"/>
    <w:basedOn w:val="Normal"/>
    <w:rsid w:val="007E360C"/>
    <w:pPr>
      <w:spacing w:line="280" w:lineRule="atLeast"/>
    </w:pPr>
    <w:rPr>
      <w:rFonts w:ascii="Arial" w:hAnsi="Arial"/>
      <w:sz w:val="16"/>
      <w:szCs w:val="24"/>
      <w:lang w:val="en-GB" w:eastAsia="en-US"/>
    </w:rPr>
  </w:style>
  <w:style w:type="paragraph" w:styleId="CommentSubject">
    <w:name w:val="annotation subject"/>
    <w:basedOn w:val="CommentText"/>
    <w:next w:val="CommentText"/>
    <w:link w:val="CommentSubjectChar"/>
    <w:uiPriority w:val="99"/>
    <w:rsid w:val="007E360C"/>
    <w:rPr>
      <w:b/>
      <w:bCs/>
    </w:rPr>
  </w:style>
  <w:style w:type="character" w:customStyle="1" w:styleId="CommentSubjectChar">
    <w:name w:val="Comment Subject Char"/>
    <w:basedOn w:val="CommentTextChar"/>
    <w:link w:val="CommentSubject"/>
    <w:uiPriority w:val="99"/>
    <w:rsid w:val="007E360C"/>
    <w:rPr>
      <w:rFonts w:ascii="Times New Roman" w:eastAsia="Times New Roman" w:hAnsi="Times New Roman" w:cs="Times New Roman"/>
      <w:b/>
      <w:bCs/>
      <w:sz w:val="24"/>
      <w:szCs w:val="20"/>
      <w:lang w:eastAsia="pl-PL"/>
    </w:rPr>
  </w:style>
  <w:style w:type="paragraph" w:customStyle="1" w:styleId="Applicationdirecte">
    <w:name w:val="Application directe"/>
    <w:basedOn w:val="Normal"/>
    <w:next w:val="Normal"/>
    <w:rsid w:val="007E360C"/>
    <w:pPr>
      <w:spacing w:before="480" w:after="120"/>
    </w:pPr>
    <w:rPr>
      <w:lang w:val="en-GB"/>
    </w:rPr>
  </w:style>
  <w:style w:type="character" w:customStyle="1" w:styleId="Heading3Char1">
    <w:name w:val="Heading 3 Char1"/>
    <w:aliases w:val="Heading 2 Char Char + Bookman Old Style Char2,Gris - 80 % Char2,Gauche :  2 Char2,97 ... Char2,Címsor 3 Char Char2,Heading 3 Char Char1"/>
    <w:rsid w:val="007E360C"/>
    <w:rPr>
      <w:rFonts w:ascii="Times New Roman" w:hAnsi="Times New Roman"/>
      <w:b/>
      <w:color w:val="000000"/>
      <w:sz w:val="20"/>
      <w:shd w:val="clear" w:color="auto" w:fill="FFFFFF"/>
      <w:lang w:val="en-GB" w:eastAsia="pl-PL"/>
    </w:rPr>
  </w:style>
  <w:style w:type="paragraph" w:styleId="ListNumber">
    <w:name w:val="List Number"/>
    <w:basedOn w:val="Normal"/>
    <w:uiPriority w:val="99"/>
    <w:rsid w:val="007E360C"/>
    <w:pPr>
      <w:spacing w:after="240"/>
    </w:pPr>
    <w:rPr>
      <w:lang w:val="en-GB" w:eastAsia="en-US"/>
    </w:rPr>
  </w:style>
  <w:style w:type="paragraph" w:customStyle="1" w:styleId="ZCom">
    <w:name w:val="Z_Com"/>
    <w:basedOn w:val="Normal"/>
    <w:next w:val="ZDGName"/>
    <w:rsid w:val="007E360C"/>
    <w:pPr>
      <w:widowControl w:val="0"/>
      <w:autoSpaceDE w:val="0"/>
      <w:autoSpaceDN w:val="0"/>
      <w:ind w:right="85"/>
    </w:pPr>
    <w:rPr>
      <w:rFonts w:ascii="Arial" w:hAnsi="Arial" w:cs="Arial"/>
      <w:szCs w:val="24"/>
      <w:lang w:val="en-GB" w:eastAsia="en-GB"/>
    </w:rPr>
  </w:style>
  <w:style w:type="paragraph" w:customStyle="1" w:styleId="ZDGName">
    <w:name w:val="Z_DGName"/>
    <w:basedOn w:val="Normal"/>
    <w:rsid w:val="007E360C"/>
    <w:pPr>
      <w:widowControl w:val="0"/>
      <w:autoSpaceDE w:val="0"/>
      <w:autoSpaceDN w:val="0"/>
      <w:ind w:right="85"/>
    </w:pPr>
    <w:rPr>
      <w:rFonts w:ascii="Arial" w:hAnsi="Arial" w:cs="Arial"/>
      <w:sz w:val="16"/>
      <w:szCs w:val="16"/>
      <w:lang w:val="en-GB" w:eastAsia="en-GB"/>
    </w:rPr>
  </w:style>
  <w:style w:type="paragraph" w:styleId="ListNumber4">
    <w:name w:val="List Number 4"/>
    <w:basedOn w:val="Text4"/>
    <w:uiPriority w:val="99"/>
    <w:rsid w:val="007E360C"/>
    <w:pPr>
      <w:tabs>
        <w:tab w:val="clear" w:pos="2302"/>
        <w:tab w:val="num" w:pos="1911"/>
      </w:tabs>
      <w:ind w:left="1911" w:hanging="709"/>
    </w:pPr>
  </w:style>
  <w:style w:type="paragraph" w:customStyle="1" w:styleId="Text4">
    <w:name w:val="Text 4"/>
    <w:basedOn w:val="Normal"/>
    <w:rsid w:val="007E360C"/>
    <w:pPr>
      <w:tabs>
        <w:tab w:val="left" w:pos="2302"/>
      </w:tabs>
      <w:spacing w:after="240"/>
      <w:ind w:left="1202"/>
    </w:pPr>
    <w:rPr>
      <w:lang w:val="en-GB" w:eastAsia="en-US"/>
    </w:rPr>
  </w:style>
  <w:style w:type="paragraph" w:styleId="ListNumber5">
    <w:name w:val="List Number 5"/>
    <w:basedOn w:val="Normal"/>
    <w:uiPriority w:val="99"/>
    <w:rsid w:val="007E360C"/>
    <w:pPr>
      <w:tabs>
        <w:tab w:val="num" w:pos="1492"/>
      </w:tabs>
      <w:spacing w:after="240"/>
      <w:ind w:left="1492" w:hanging="360"/>
    </w:pPr>
    <w:rPr>
      <w:lang w:val="en-GB" w:eastAsia="en-US"/>
    </w:rPr>
  </w:style>
  <w:style w:type="paragraph" w:styleId="MessageHeader">
    <w:name w:val="Message Header"/>
    <w:basedOn w:val="Normal"/>
    <w:link w:val="MessageHeaderChar"/>
    <w:uiPriority w:val="99"/>
    <w:rsid w:val="007E360C"/>
    <w:pPr>
      <w:pBdr>
        <w:top w:val="single" w:sz="6" w:space="1" w:color="auto"/>
        <w:left w:val="single" w:sz="6" w:space="1" w:color="auto"/>
        <w:bottom w:val="single" w:sz="6" w:space="1" w:color="auto"/>
        <w:right w:val="single" w:sz="6" w:space="1" w:color="auto"/>
      </w:pBdr>
      <w:shd w:val="pct20" w:color="auto" w:fill="auto"/>
      <w:spacing w:after="240"/>
      <w:ind w:left="1134" w:hanging="1134"/>
    </w:pPr>
    <w:rPr>
      <w:rFonts w:ascii="Arial" w:hAnsi="Arial"/>
      <w:lang w:val="en-GB" w:eastAsia="en-US"/>
    </w:rPr>
  </w:style>
  <w:style w:type="character" w:customStyle="1" w:styleId="MessageHeaderChar">
    <w:name w:val="Message Header Char"/>
    <w:basedOn w:val="DefaultParagraphFont"/>
    <w:link w:val="MessageHeader"/>
    <w:uiPriority w:val="99"/>
    <w:rsid w:val="007E360C"/>
    <w:rPr>
      <w:rFonts w:ascii="Arial" w:eastAsia="Times New Roman" w:hAnsi="Arial" w:cs="Times New Roman"/>
      <w:sz w:val="24"/>
      <w:szCs w:val="20"/>
      <w:shd w:val="pct20" w:color="auto" w:fill="auto"/>
      <w:lang w:val="en-GB"/>
    </w:rPr>
  </w:style>
  <w:style w:type="paragraph" w:styleId="NoteHeading">
    <w:name w:val="Note Heading"/>
    <w:basedOn w:val="Normal"/>
    <w:next w:val="Normal"/>
    <w:link w:val="NoteHeadingChar"/>
    <w:uiPriority w:val="99"/>
    <w:rsid w:val="007E360C"/>
    <w:pPr>
      <w:spacing w:after="240"/>
    </w:pPr>
    <w:rPr>
      <w:lang w:val="en-GB" w:eastAsia="en-US"/>
    </w:rPr>
  </w:style>
  <w:style w:type="character" w:customStyle="1" w:styleId="NoteHeadingChar">
    <w:name w:val="Note Heading Char"/>
    <w:basedOn w:val="DefaultParagraphFont"/>
    <w:link w:val="NoteHeading"/>
    <w:uiPriority w:val="99"/>
    <w:rsid w:val="007E360C"/>
    <w:rPr>
      <w:rFonts w:ascii="Times New Roman" w:eastAsia="Times New Roman" w:hAnsi="Times New Roman" w:cs="Times New Roman"/>
      <w:sz w:val="24"/>
      <w:szCs w:val="20"/>
      <w:lang w:val="en-GB"/>
    </w:rPr>
  </w:style>
  <w:style w:type="character" w:customStyle="1" w:styleId="NumPar1Tegn">
    <w:name w:val="NumPar 1 Tegn"/>
    <w:link w:val="NumPar1"/>
    <w:locked/>
    <w:rsid w:val="007E360C"/>
    <w:rPr>
      <w:rFonts w:ascii="Times New Roman" w:eastAsia="Times New Roman" w:hAnsi="Times New Roman" w:cs="Times New Roman"/>
      <w:sz w:val="24"/>
      <w:szCs w:val="20"/>
      <w:lang w:val="en-GB" w:eastAsia="pl-PL"/>
    </w:rPr>
  </w:style>
  <w:style w:type="paragraph" w:customStyle="1" w:styleId="PartTitle">
    <w:name w:val="PartTitle"/>
    <w:basedOn w:val="Normal"/>
    <w:next w:val="ChapterTitle"/>
    <w:rsid w:val="007E360C"/>
    <w:pPr>
      <w:keepNext/>
      <w:pageBreakBefore/>
      <w:spacing w:after="480"/>
    </w:pPr>
    <w:rPr>
      <w:b/>
      <w:sz w:val="36"/>
      <w:lang w:val="en-GB" w:eastAsia="en-US"/>
    </w:rPr>
  </w:style>
  <w:style w:type="paragraph" w:customStyle="1" w:styleId="ChapterTitle">
    <w:name w:val="ChapterTitle"/>
    <w:basedOn w:val="Normal"/>
    <w:next w:val="SectionTitle"/>
    <w:rsid w:val="007E360C"/>
    <w:pPr>
      <w:keepNext/>
      <w:spacing w:after="480"/>
    </w:pPr>
    <w:rPr>
      <w:b/>
      <w:sz w:val="32"/>
      <w:lang w:val="en-GB" w:eastAsia="en-US"/>
    </w:rPr>
  </w:style>
  <w:style w:type="paragraph" w:customStyle="1" w:styleId="SectionTitle">
    <w:name w:val="SectionTitle"/>
    <w:basedOn w:val="Normal"/>
    <w:next w:val="Heading1"/>
    <w:rsid w:val="007E360C"/>
    <w:pPr>
      <w:keepNext/>
      <w:spacing w:after="480"/>
    </w:pPr>
    <w:rPr>
      <w:b/>
      <w:smallCaps/>
      <w:sz w:val="28"/>
      <w:lang w:val="en-GB" w:eastAsia="en-US"/>
    </w:rPr>
  </w:style>
  <w:style w:type="paragraph" w:customStyle="1" w:styleId="ListNumber4Level3">
    <w:name w:val="List Number 4 (Level 3)"/>
    <w:basedOn w:val="Text4"/>
    <w:rsid w:val="007E360C"/>
    <w:pPr>
      <w:tabs>
        <w:tab w:val="clear" w:pos="2302"/>
        <w:tab w:val="num" w:pos="3328"/>
      </w:tabs>
      <w:ind w:left="3328" w:hanging="709"/>
    </w:pPr>
  </w:style>
  <w:style w:type="paragraph" w:customStyle="1" w:styleId="ListNumber4Level4">
    <w:name w:val="List Number 4 (Level 4)"/>
    <w:basedOn w:val="Text4"/>
    <w:rsid w:val="007E360C"/>
    <w:pPr>
      <w:tabs>
        <w:tab w:val="clear" w:pos="2302"/>
        <w:tab w:val="num" w:pos="4037"/>
      </w:tabs>
      <w:ind w:left="4037" w:hanging="709"/>
    </w:pPr>
  </w:style>
  <w:style w:type="paragraph" w:customStyle="1" w:styleId="Contact">
    <w:name w:val="Contact"/>
    <w:basedOn w:val="Normal"/>
    <w:next w:val="Normal"/>
    <w:rsid w:val="007E360C"/>
    <w:pPr>
      <w:spacing w:after="480"/>
      <w:ind w:left="567" w:hanging="567"/>
    </w:pPr>
    <w:rPr>
      <w:lang w:val="en-GB" w:eastAsia="en-US"/>
    </w:rPr>
  </w:style>
  <w:style w:type="paragraph" w:customStyle="1" w:styleId="Point1">
    <w:name w:val="Point 1"/>
    <w:basedOn w:val="Normal"/>
    <w:rsid w:val="007E360C"/>
    <w:pPr>
      <w:spacing w:before="120" w:after="120"/>
      <w:ind w:left="1418" w:hanging="567"/>
    </w:pPr>
    <w:rPr>
      <w:lang w:val="en-GB" w:eastAsia="fr-BE"/>
    </w:rPr>
  </w:style>
  <w:style w:type="paragraph" w:customStyle="1" w:styleId="Par-bullet">
    <w:name w:val="Par-bullet"/>
    <w:basedOn w:val="Normal"/>
    <w:next w:val="Normal"/>
    <w:rsid w:val="007E360C"/>
    <w:pPr>
      <w:widowControl w:val="0"/>
      <w:tabs>
        <w:tab w:val="num" w:pos="567"/>
      </w:tabs>
      <w:spacing w:line="360" w:lineRule="auto"/>
      <w:ind w:left="567" w:hanging="567"/>
    </w:pPr>
    <w:rPr>
      <w:lang w:val="en-GB" w:eastAsia="fr-BE"/>
    </w:rPr>
  </w:style>
  <w:style w:type="paragraph" w:customStyle="1" w:styleId="Par-equal">
    <w:name w:val="Par-equal"/>
    <w:basedOn w:val="Normal"/>
    <w:next w:val="Normal"/>
    <w:rsid w:val="007E360C"/>
    <w:pPr>
      <w:widowControl w:val="0"/>
      <w:tabs>
        <w:tab w:val="num" w:pos="567"/>
      </w:tabs>
      <w:spacing w:line="360" w:lineRule="auto"/>
      <w:ind w:left="567" w:hanging="567"/>
    </w:pPr>
    <w:rPr>
      <w:lang w:val="en-GB" w:eastAsia="fr-BE"/>
    </w:rPr>
  </w:style>
  <w:style w:type="paragraph" w:customStyle="1" w:styleId="Par-number1">
    <w:name w:val="Par-number (1)"/>
    <w:basedOn w:val="Normal"/>
    <w:next w:val="Normal"/>
    <w:rsid w:val="007E360C"/>
    <w:pPr>
      <w:widowControl w:val="0"/>
      <w:tabs>
        <w:tab w:val="num" w:pos="567"/>
      </w:tabs>
      <w:spacing w:line="360" w:lineRule="auto"/>
      <w:ind w:left="567" w:hanging="567"/>
    </w:pPr>
    <w:rPr>
      <w:lang w:val="en-GB" w:eastAsia="fr-BE"/>
    </w:rPr>
  </w:style>
  <w:style w:type="paragraph" w:customStyle="1" w:styleId="Par-number10">
    <w:name w:val="Par-number 1."/>
    <w:basedOn w:val="Normal"/>
    <w:next w:val="Normal"/>
    <w:rsid w:val="007E360C"/>
    <w:pPr>
      <w:widowControl w:val="0"/>
      <w:tabs>
        <w:tab w:val="num" w:pos="567"/>
      </w:tabs>
      <w:spacing w:line="360" w:lineRule="auto"/>
      <w:ind w:left="567" w:hanging="567"/>
    </w:pPr>
    <w:rPr>
      <w:lang w:val="en-GB" w:eastAsia="fr-BE"/>
    </w:rPr>
  </w:style>
  <w:style w:type="paragraph" w:customStyle="1" w:styleId="Par-numberI">
    <w:name w:val="Par-number I."/>
    <w:basedOn w:val="Normal"/>
    <w:next w:val="Normal"/>
    <w:rsid w:val="007E360C"/>
    <w:pPr>
      <w:widowControl w:val="0"/>
      <w:tabs>
        <w:tab w:val="num" w:pos="567"/>
      </w:tabs>
      <w:spacing w:line="360" w:lineRule="auto"/>
      <w:ind w:left="567" w:hanging="567"/>
    </w:pPr>
    <w:rPr>
      <w:lang w:val="en-GB" w:eastAsia="fr-BE"/>
    </w:rPr>
  </w:style>
  <w:style w:type="paragraph" w:customStyle="1" w:styleId="FooterLandscape">
    <w:name w:val="FooterLandscape"/>
    <w:basedOn w:val="Footer"/>
    <w:rsid w:val="007E360C"/>
    <w:pPr>
      <w:widowControl w:val="0"/>
      <w:tabs>
        <w:tab w:val="clear" w:pos="4536"/>
        <w:tab w:val="clear" w:pos="9072"/>
        <w:tab w:val="center" w:pos="7371"/>
        <w:tab w:val="center" w:pos="11340"/>
        <w:tab w:val="right" w:pos="14572"/>
      </w:tabs>
    </w:pPr>
    <w:rPr>
      <w:lang w:val="en-GB" w:eastAsia="fr-BE"/>
    </w:rPr>
  </w:style>
  <w:style w:type="paragraph" w:customStyle="1" w:styleId="Point3">
    <w:name w:val="Point 3"/>
    <w:basedOn w:val="Normal"/>
    <w:rsid w:val="007E360C"/>
    <w:pPr>
      <w:spacing w:before="120" w:after="120"/>
      <w:ind w:left="2552" w:hanging="567"/>
    </w:pPr>
    <w:rPr>
      <w:lang w:val="en-GB" w:eastAsia="fr-BE"/>
    </w:rPr>
  </w:style>
  <w:style w:type="paragraph" w:customStyle="1" w:styleId="Point4">
    <w:name w:val="Point 4"/>
    <w:basedOn w:val="Normal"/>
    <w:rsid w:val="007E360C"/>
    <w:pPr>
      <w:spacing w:before="120" w:after="120"/>
      <w:ind w:left="3119" w:hanging="567"/>
    </w:pPr>
    <w:rPr>
      <w:lang w:val="en-GB" w:eastAsia="fr-BE"/>
    </w:rPr>
  </w:style>
  <w:style w:type="paragraph" w:customStyle="1" w:styleId="TitreobjetChar">
    <w:name w:val="Titre objet Char"/>
    <w:basedOn w:val="Normal"/>
    <w:next w:val="Normal"/>
    <w:link w:val="TitreobjetCharChar"/>
    <w:rsid w:val="007E360C"/>
    <w:pPr>
      <w:spacing w:before="360" w:after="360"/>
    </w:pPr>
    <w:rPr>
      <w:b/>
      <w:szCs w:val="24"/>
      <w:lang w:val="en-GB" w:eastAsia="zh-CN"/>
    </w:rPr>
  </w:style>
  <w:style w:type="character" w:customStyle="1" w:styleId="TitreobjetCharChar">
    <w:name w:val="Titre objet Char Char"/>
    <w:link w:val="TitreobjetChar"/>
    <w:locked/>
    <w:rsid w:val="007E360C"/>
    <w:rPr>
      <w:rFonts w:ascii="Times New Roman" w:eastAsia="Times New Roman" w:hAnsi="Times New Roman" w:cs="Times New Roman"/>
      <w:b/>
      <w:sz w:val="24"/>
      <w:szCs w:val="24"/>
      <w:lang w:val="en-GB" w:eastAsia="zh-CN"/>
    </w:rPr>
  </w:style>
  <w:style w:type="paragraph" w:customStyle="1" w:styleId="TitrearticleChar">
    <w:name w:val="Titre article Char"/>
    <w:basedOn w:val="Normal"/>
    <w:next w:val="Normal"/>
    <w:link w:val="TitrearticleCharChar"/>
    <w:rsid w:val="007E360C"/>
    <w:pPr>
      <w:keepNext/>
      <w:spacing w:before="360" w:after="120"/>
    </w:pPr>
    <w:rPr>
      <w:i/>
      <w:szCs w:val="24"/>
      <w:lang w:val="en-GB" w:eastAsia="zh-CN"/>
    </w:rPr>
  </w:style>
  <w:style w:type="character" w:customStyle="1" w:styleId="TitrearticleCharChar">
    <w:name w:val="Titre article Char Char"/>
    <w:link w:val="TitrearticleChar"/>
    <w:locked/>
    <w:rsid w:val="007E360C"/>
    <w:rPr>
      <w:rFonts w:ascii="Times New Roman" w:eastAsia="Times New Roman" w:hAnsi="Times New Roman" w:cs="Times New Roman"/>
      <w:i/>
      <w:sz w:val="24"/>
      <w:szCs w:val="24"/>
      <w:lang w:val="en-GB" w:eastAsia="zh-CN"/>
    </w:rPr>
  </w:style>
  <w:style w:type="paragraph" w:customStyle="1" w:styleId="Annexetitreacte">
    <w:name w:val="Annexe titre (acte)"/>
    <w:basedOn w:val="Normal"/>
    <w:next w:val="Normal"/>
    <w:rsid w:val="007E360C"/>
    <w:pPr>
      <w:spacing w:before="120" w:after="120"/>
    </w:pPr>
    <w:rPr>
      <w:b/>
      <w:u w:val="single"/>
      <w:lang w:val="en-GB" w:eastAsia="zh-CN"/>
    </w:rPr>
  </w:style>
  <w:style w:type="paragraph" w:styleId="ListBullet">
    <w:name w:val="List Bullet"/>
    <w:basedOn w:val="Normal"/>
    <w:uiPriority w:val="99"/>
    <w:rsid w:val="007E360C"/>
    <w:pPr>
      <w:tabs>
        <w:tab w:val="num" w:pos="283"/>
      </w:tabs>
      <w:spacing w:after="240"/>
      <w:ind w:left="283" w:hanging="283"/>
    </w:pPr>
    <w:rPr>
      <w:lang w:val="en-GB" w:eastAsia="en-US"/>
    </w:rPr>
  </w:style>
  <w:style w:type="paragraph" w:styleId="ListBullet2">
    <w:name w:val="List Bullet 2"/>
    <w:basedOn w:val="Normal"/>
    <w:uiPriority w:val="99"/>
    <w:rsid w:val="007E360C"/>
    <w:pPr>
      <w:tabs>
        <w:tab w:val="num" w:pos="1485"/>
      </w:tabs>
      <w:spacing w:after="240"/>
      <w:ind w:left="1485" w:hanging="283"/>
    </w:pPr>
    <w:rPr>
      <w:lang w:val="en-GB" w:eastAsia="en-US"/>
    </w:rPr>
  </w:style>
  <w:style w:type="paragraph" w:styleId="ListBullet3">
    <w:name w:val="List Bullet 3"/>
    <w:basedOn w:val="Text3"/>
    <w:uiPriority w:val="99"/>
    <w:rsid w:val="007E360C"/>
    <w:pPr>
      <w:tabs>
        <w:tab w:val="clear" w:pos="2302"/>
        <w:tab w:val="num" w:pos="1485"/>
      </w:tabs>
      <w:ind w:left="1485" w:hanging="283"/>
    </w:pPr>
  </w:style>
  <w:style w:type="paragraph" w:styleId="DocumentMap">
    <w:name w:val="Document Map"/>
    <w:basedOn w:val="Normal"/>
    <w:link w:val="DocumentMapChar"/>
    <w:uiPriority w:val="99"/>
    <w:rsid w:val="007E360C"/>
    <w:pPr>
      <w:shd w:val="clear" w:color="auto" w:fill="000080"/>
    </w:pPr>
    <w:rPr>
      <w:rFonts w:ascii="Tahoma" w:hAnsi="Tahoma" w:cs="Tahoma"/>
      <w:lang w:val="en-GB" w:eastAsia="en-GB"/>
    </w:rPr>
  </w:style>
  <w:style w:type="character" w:customStyle="1" w:styleId="DocumentMapChar">
    <w:name w:val="Document Map Char"/>
    <w:basedOn w:val="DefaultParagraphFont"/>
    <w:link w:val="DocumentMap"/>
    <w:uiPriority w:val="99"/>
    <w:rsid w:val="007E360C"/>
    <w:rPr>
      <w:rFonts w:ascii="Tahoma" w:eastAsia="Times New Roman" w:hAnsi="Tahoma" w:cs="Tahoma"/>
      <w:sz w:val="24"/>
      <w:szCs w:val="20"/>
      <w:shd w:val="clear" w:color="auto" w:fill="000080"/>
      <w:lang w:val="en-GB" w:eastAsia="en-GB"/>
    </w:rPr>
  </w:style>
  <w:style w:type="paragraph" w:customStyle="1" w:styleId="Char">
    <w:name w:val="Char"/>
    <w:basedOn w:val="Normal"/>
    <w:rsid w:val="007E360C"/>
    <w:pPr>
      <w:spacing w:after="160" w:line="240" w:lineRule="exact"/>
    </w:pPr>
    <w:rPr>
      <w:rFonts w:ascii="Tahoma" w:hAnsi="Tahoma"/>
      <w:lang w:val="en-US" w:eastAsia="en-US"/>
    </w:rPr>
  </w:style>
  <w:style w:type="paragraph" w:customStyle="1" w:styleId="1">
    <w:name w:val="1"/>
    <w:basedOn w:val="Normal"/>
    <w:rsid w:val="007E360C"/>
    <w:pPr>
      <w:spacing w:after="160" w:line="240" w:lineRule="exact"/>
    </w:pPr>
    <w:rPr>
      <w:rFonts w:ascii="Tahoma" w:hAnsi="Tahoma"/>
      <w:lang w:val="en-US" w:eastAsia="en-US"/>
    </w:rPr>
  </w:style>
  <w:style w:type="character" w:customStyle="1" w:styleId="FootnoteCar">
    <w:name w:val="Footnote Car"/>
    <w:rsid w:val="007E360C"/>
    <w:rPr>
      <w:rFonts w:ascii="Times" w:hAnsi="Times"/>
      <w:color w:val="000000"/>
      <w:sz w:val="24"/>
      <w:lang w:val="en-US" w:eastAsia="x-none"/>
    </w:rPr>
  </w:style>
  <w:style w:type="paragraph" w:styleId="Subtitle">
    <w:name w:val="Subtitle"/>
    <w:basedOn w:val="Normal"/>
    <w:link w:val="SubtitleChar"/>
    <w:uiPriority w:val="11"/>
    <w:qFormat/>
    <w:rsid w:val="007E360C"/>
    <w:rPr>
      <w:lang w:eastAsia="bg-BG"/>
    </w:rPr>
  </w:style>
  <w:style w:type="character" w:customStyle="1" w:styleId="SubtitleChar">
    <w:name w:val="Subtitle Char"/>
    <w:basedOn w:val="DefaultParagraphFont"/>
    <w:link w:val="Subtitle"/>
    <w:uiPriority w:val="11"/>
    <w:rsid w:val="007E360C"/>
    <w:rPr>
      <w:rFonts w:ascii="Times New Roman" w:eastAsia="Times New Roman" w:hAnsi="Times New Roman" w:cs="Times New Roman"/>
      <w:sz w:val="24"/>
      <w:szCs w:val="20"/>
      <w:lang w:eastAsia="bg-BG"/>
    </w:rPr>
  </w:style>
  <w:style w:type="paragraph" w:customStyle="1" w:styleId="N">
    <w:name w:val="N"/>
    <w:rsid w:val="007E360C"/>
    <w:pPr>
      <w:suppressAutoHyphens/>
      <w:spacing w:after="120" w:line="360" w:lineRule="auto"/>
      <w:ind w:firstLine="720"/>
      <w:jc w:val="both"/>
    </w:pPr>
    <w:rPr>
      <w:rFonts w:ascii="Times New Roman" w:eastAsia="Times New Roman" w:hAnsi="Times New Roman" w:cs="Times New Roman"/>
      <w:sz w:val="24"/>
      <w:szCs w:val="20"/>
      <w:lang w:val="en-US" w:eastAsia="ar-SA"/>
    </w:rPr>
  </w:style>
  <w:style w:type="paragraph" w:customStyle="1" w:styleId="Formatvorlage1">
    <w:name w:val="Formatvorlage1"/>
    <w:basedOn w:val="Normal"/>
    <w:rsid w:val="007E360C"/>
    <w:rPr>
      <w:lang w:val="en-GB" w:eastAsia="bg-BG"/>
    </w:rPr>
  </w:style>
  <w:style w:type="paragraph" w:customStyle="1" w:styleId="Bullets">
    <w:name w:val="Bullets"/>
    <w:basedOn w:val="Normal"/>
    <w:rsid w:val="007E360C"/>
    <w:pPr>
      <w:tabs>
        <w:tab w:val="num" w:pos="360"/>
      </w:tabs>
      <w:overflowPunct w:val="0"/>
      <w:autoSpaceDE w:val="0"/>
      <w:autoSpaceDN w:val="0"/>
      <w:adjustRightInd w:val="0"/>
    </w:pPr>
    <w:rPr>
      <w:sz w:val="22"/>
      <w:lang w:val="fr-FR" w:eastAsia="en-GB"/>
    </w:rPr>
  </w:style>
  <w:style w:type="paragraph" w:styleId="PlainText">
    <w:name w:val="Plain Text"/>
    <w:basedOn w:val="Normal"/>
    <w:link w:val="PlainTextChar"/>
    <w:uiPriority w:val="99"/>
    <w:rsid w:val="007E360C"/>
    <w:rPr>
      <w:rFonts w:ascii="Courier New" w:hAnsi="Courier New"/>
      <w:lang w:eastAsia="bg-BG"/>
    </w:rPr>
  </w:style>
  <w:style w:type="character" w:customStyle="1" w:styleId="PlainTextChar">
    <w:name w:val="Plain Text Char"/>
    <w:basedOn w:val="DefaultParagraphFont"/>
    <w:link w:val="PlainText"/>
    <w:uiPriority w:val="99"/>
    <w:rsid w:val="007E360C"/>
    <w:rPr>
      <w:rFonts w:ascii="Courier New" w:eastAsia="Times New Roman" w:hAnsi="Courier New" w:cs="Times New Roman"/>
      <w:sz w:val="24"/>
      <w:szCs w:val="20"/>
      <w:lang w:eastAsia="bg-BG"/>
    </w:rPr>
  </w:style>
  <w:style w:type="paragraph" w:styleId="List">
    <w:name w:val="List"/>
    <w:basedOn w:val="Normal"/>
    <w:uiPriority w:val="99"/>
    <w:rsid w:val="007E360C"/>
    <w:pPr>
      <w:ind w:left="283" w:hanging="283"/>
    </w:pPr>
    <w:rPr>
      <w:szCs w:val="24"/>
      <w:lang w:eastAsia="en-US"/>
    </w:rPr>
  </w:style>
  <w:style w:type="paragraph" w:styleId="List2">
    <w:name w:val="List 2"/>
    <w:basedOn w:val="Normal"/>
    <w:uiPriority w:val="99"/>
    <w:rsid w:val="007E360C"/>
    <w:pPr>
      <w:ind w:left="566" w:hanging="283"/>
    </w:pPr>
    <w:rPr>
      <w:szCs w:val="24"/>
      <w:lang w:eastAsia="en-US"/>
    </w:rPr>
  </w:style>
  <w:style w:type="paragraph" w:styleId="List3">
    <w:name w:val="List 3"/>
    <w:basedOn w:val="Normal"/>
    <w:uiPriority w:val="99"/>
    <w:rsid w:val="007E360C"/>
    <w:pPr>
      <w:ind w:left="849" w:hanging="283"/>
    </w:pPr>
    <w:rPr>
      <w:szCs w:val="24"/>
      <w:lang w:eastAsia="en-US"/>
    </w:rPr>
  </w:style>
  <w:style w:type="paragraph" w:styleId="ListBullet4">
    <w:name w:val="List Bullet 4"/>
    <w:basedOn w:val="Normal"/>
    <w:autoRedefine/>
    <w:uiPriority w:val="99"/>
    <w:rsid w:val="007E360C"/>
    <w:pPr>
      <w:numPr>
        <w:numId w:val="8"/>
      </w:numPr>
    </w:pPr>
    <w:rPr>
      <w:szCs w:val="24"/>
      <w:lang w:eastAsia="en-US"/>
    </w:rPr>
  </w:style>
  <w:style w:type="paragraph" w:styleId="ListContinue2">
    <w:name w:val="List Continue 2"/>
    <w:basedOn w:val="Normal"/>
    <w:uiPriority w:val="99"/>
    <w:rsid w:val="007E360C"/>
    <w:pPr>
      <w:spacing w:after="120"/>
      <w:ind w:left="566"/>
    </w:pPr>
    <w:rPr>
      <w:szCs w:val="24"/>
      <w:lang w:eastAsia="en-US"/>
    </w:rPr>
  </w:style>
  <w:style w:type="character" w:customStyle="1" w:styleId="tstnp1">
    <w:name w:val="tstnp1"/>
    <w:rsid w:val="007E360C"/>
    <w:rPr>
      <w:rFonts w:ascii="Verdana" w:hAnsi="Verdana"/>
      <w:color w:val="000000"/>
      <w:sz w:val="20"/>
    </w:rPr>
  </w:style>
  <w:style w:type="character" w:customStyle="1" w:styleId="n0">
    <w:name w:val="n"/>
    <w:rsid w:val="007E360C"/>
  </w:style>
  <w:style w:type="paragraph" w:customStyle="1" w:styleId="par">
    <w:name w:val="par"/>
    <w:basedOn w:val="Normal"/>
    <w:rsid w:val="007E360C"/>
    <w:pPr>
      <w:spacing w:before="100" w:beforeAutospacing="1" w:after="100" w:afterAutospacing="1"/>
    </w:pPr>
    <w:rPr>
      <w:szCs w:val="24"/>
      <w:lang w:eastAsia="bg-BG"/>
    </w:rPr>
  </w:style>
  <w:style w:type="character" w:styleId="Strong">
    <w:name w:val="Strong"/>
    <w:uiPriority w:val="22"/>
    <w:qFormat/>
    <w:rsid w:val="007E360C"/>
    <w:rPr>
      <w:b/>
    </w:rPr>
  </w:style>
  <w:style w:type="table" w:styleId="TableWeb1">
    <w:name w:val="Table Web 1"/>
    <w:basedOn w:val="TableNormal"/>
    <w:uiPriority w:val="99"/>
    <w:rsid w:val="007E360C"/>
    <w:pPr>
      <w:spacing w:after="0" w:line="240" w:lineRule="auto"/>
    </w:pPr>
    <w:rPr>
      <w:rFonts w:ascii="Times New Roman" w:eastAsia="Times New Roman" w:hAnsi="Times New Roman" w:cs="Times New Roman"/>
      <w:sz w:val="20"/>
      <w:szCs w:val="20"/>
      <w:lang w:eastAsia="bg-BG"/>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uiPriority w:val="99"/>
    <w:rsid w:val="007E360C"/>
    <w:pPr>
      <w:spacing w:after="0" w:line="240" w:lineRule="auto"/>
    </w:pPr>
    <w:rPr>
      <w:rFonts w:ascii="Times New Roman" w:eastAsia="Times New Roman" w:hAnsi="Times New Roman" w:cs="Times New Roman"/>
      <w:sz w:val="20"/>
      <w:szCs w:val="20"/>
      <w:lang w:eastAsia="bg-BG"/>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List7">
    <w:name w:val="Table List 7"/>
    <w:basedOn w:val="TableNormal"/>
    <w:uiPriority w:val="99"/>
    <w:rsid w:val="007E360C"/>
    <w:pPr>
      <w:spacing w:after="0" w:line="240" w:lineRule="auto"/>
    </w:pPr>
    <w:rPr>
      <w:rFonts w:ascii="Times New Roman" w:eastAsia="Times New Roman" w:hAnsi="Times New Roman" w:cs="Times New Roman"/>
      <w:sz w:val="20"/>
      <w:szCs w:val="20"/>
      <w:lang w:eastAsia="bg-BG"/>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Elegant">
    <w:name w:val="Table Elegant"/>
    <w:basedOn w:val="TableNormal"/>
    <w:uiPriority w:val="99"/>
    <w:rsid w:val="007E360C"/>
    <w:pPr>
      <w:spacing w:after="0" w:line="240" w:lineRule="auto"/>
    </w:pPr>
    <w:rPr>
      <w:rFonts w:ascii="Times New Roman" w:eastAsia="Times New Roman" w:hAnsi="Times New Roman" w:cs="Times New Roman"/>
      <w:sz w:val="20"/>
      <w:szCs w:val="20"/>
      <w:lang w:eastAsia="bg-BG"/>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leGrid11">
    <w:name w:val="Table Grid11"/>
    <w:basedOn w:val="TableNormal"/>
    <w:next w:val="TableGrid"/>
    <w:rsid w:val="007E360C"/>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rsid w:val="007E360C"/>
    <w:pPr>
      <w:suppressAutoHyphens/>
      <w:spacing w:before="60" w:after="60"/>
    </w:pPr>
    <w:rPr>
      <w:color w:val="000000"/>
      <w:lang w:eastAsia="ar-SA"/>
    </w:rPr>
  </w:style>
  <w:style w:type="character" w:styleId="Emphasis">
    <w:name w:val="Emphasis"/>
    <w:uiPriority w:val="20"/>
    <w:qFormat/>
    <w:rsid w:val="007E360C"/>
    <w:rPr>
      <w:i/>
    </w:rPr>
  </w:style>
  <w:style w:type="paragraph" w:customStyle="1" w:styleId="txt">
    <w:name w:val="txt"/>
    <w:basedOn w:val="Normal"/>
    <w:rsid w:val="007E360C"/>
    <w:pPr>
      <w:spacing w:before="100" w:beforeAutospacing="1" w:after="100" w:afterAutospacing="1"/>
    </w:pPr>
    <w:rPr>
      <w:szCs w:val="24"/>
      <w:lang w:eastAsia="bg-BG"/>
    </w:rPr>
  </w:style>
  <w:style w:type="paragraph" w:customStyle="1" w:styleId="CharCharCharCharCharChar">
    <w:name w:val="Char Char Char Char Char Char"/>
    <w:basedOn w:val="Normal"/>
    <w:rsid w:val="007E360C"/>
    <w:pPr>
      <w:tabs>
        <w:tab w:val="left" w:pos="709"/>
      </w:tabs>
    </w:pPr>
    <w:rPr>
      <w:rFonts w:ascii="Tahoma" w:hAnsi="Tahoma"/>
      <w:szCs w:val="24"/>
    </w:rPr>
  </w:style>
  <w:style w:type="character" w:styleId="EndnoteReference">
    <w:name w:val="endnote reference"/>
    <w:uiPriority w:val="99"/>
    <w:rsid w:val="007E360C"/>
    <w:rPr>
      <w:vertAlign w:val="superscript"/>
    </w:rPr>
  </w:style>
  <w:style w:type="paragraph" w:customStyle="1" w:styleId="Logo">
    <w:name w:val="Logo"/>
    <w:basedOn w:val="Normal"/>
    <w:rsid w:val="007E360C"/>
    <w:rPr>
      <w:sz w:val="22"/>
      <w:lang w:val="fr-FR" w:eastAsia="sk-SK"/>
    </w:rPr>
  </w:style>
  <w:style w:type="paragraph" w:customStyle="1" w:styleId="ZD">
    <w:name w:val="Z_D"/>
    <w:basedOn w:val="Logo"/>
    <w:rsid w:val="007E360C"/>
    <w:rPr>
      <w:rFonts w:ascii="Arial" w:hAnsi="Arial"/>
      <w:sz w:val="16"/>
    </w:rPr>
  </w:style>
  <w:style w:type="paragraph" w:customStyle="1" w:styleId="ZU">
    <w:name w:val="Z_U"/>
    <w:basedOn w:val="Logo"/>
    <w:rsid w:val="007E360C"/>
    <w:rPr>
      <w:rFonts w:ascii="Arial" w:hAnsi="Arial"/>
      <w:b/>
      <w:sz w:val="16"/>
    </w:rPr>
  </w:style>
  <w:style w:type="paragraph" w:styleId="EndnoteText">
    <w:name w:val="endnote text"/>
    <w:basedOn w:val="Normal"/>
    <w:link w:val="EndnoteTextChar"/>
    <w:uiPriority w:val="99"/>
    <w:rsid w:val="007E360C"/>
    <w:rPr>
      <w:lang w:val="en-GB" w:eastAsia="sk-SK"/>
    </w:rPr>
  </w:style>
  <w:style w:type="character" w:customStyle="1" w:styleId="EndnoteTextChar">
    <w:name w:val="Endnote Text Char"/>
    <w:basedOn w:val="DefaultParagraphFont"/>
    <w:link w:val="EndnoteText"/>
    <w:uiPriority w:val="99"/>
    <w:rsid w:val="007E360C"/>
    <w:rPr>
      <w:rFonts w:ascii="Times New Roman" w:eastAsia="Times New Roman" w:hAnsi="Times New Roman" w:cs="Times New Roman"/>
      <w:sz w:val="24"/>
      <w:szCs w:val="20"/>
      <w:lang w:val="en-GB" w:eastAsia="sk-SK"/>
    </w:rPr>
  </w:style>
  <w:style w:type="paragraph" w:customStyle="1" w:styleId="Application4">
    <w:name w:val="Application4"/>
    <w:basedOn w:val="Normal"/>
    <w:autoRedefine/>
    <w:rsid w:val="007E360C"/>
    <w:pPr>
      <w:widowControl w:val="0"/>
      <w:numPr>
        <w:numId w:val="9"/>
      </w:numPr>
      <w:tabs>
        <w:tab w:val="right" w:pos="8789"/>
      </w:tabs>
      <w:suppressAutoHyphens/>
    </w:pPr>
    <w:rPr>
      <w:rFonts w:ascii="Arial" w:hAnsi="Arial"/>
      <w:spacing w:val="-2"/>
      <w:lang w:val="en-GB" w:eastAsia="en-US"/>
    </w:rPr>
  </w:style>
  <w:style w:type="paragraph" w:customStyle="1" w:styleId="NoteHead">
    <w:name w:val="NoteHead"/>
    <w:basedOn w:val="Normal"/>
    <w:next w:val="Normal"/>
    <w:rsid w:val="007E360C"/>
    <w:pPr>
      <w:spacing w:before="720" w:after="720"/>
    </w:pPr>
    <w:rPr>
      <w:b/>
      <w:bCs/>
      <w:smallCaps/>
      <w:szCs w:val="24"/>
      <w:lang w:val="en-GB" w:eastAsia="fr-FR"/>
    </w:rPr>
  </w:style>
  <w:style w:type="paragraph" w:customStyle="1" w:styleId="OPACbullet">
    <w:name w:val="OPAC bullet"/>
    <w:basedOn w:val="Normal"/>
    <w:rsid w:val="007E360C"/>
    <w:pPr>
      <w:numPr>
        <w:numId w:val="10"/>
      </w:numPr>
      <w:spacing w:before="120"/>
    </w:pPr>
    <w:rPr>
      <w:szCs w:val="24"/>
      <w:lang w:eastAsia="bg-BG"/>
    </w:rPr>
  </w:style>
  <w:style w:type="paragraph" w:customStyle="1" w:styleId="MANUAL1">
    <w:name w:val="MANUAL 1"/>
    <w:basedOn w:val="Normal"/>
    <w:rsid w:val="007E360C"/>
    <w:pPr>
      <w:keepNext/>
      <w:spacing w:before="240" w:after="120"/>
      <w:outlineLvl w:val="1"/>
    </w:pPr>
    <w:rPr>
      <w:b/>
      <w:bCs/>
      <w:color w:val="0000FF"/>
      <w:sz w:val="28"/>
      <w:szCs w:val="24"/>
      <w:lang w:eastAsia="bg-BG"/>
    </w:rPr>
  </w:style>
  <w:style w:type="paragraph" w:customStyle="1" w:styleId="CharChar5CharCharCharCharCharCharCharCharCharChar1CharCharCharCharCharChar1Char">
    <w:name w:val="Char Char5 Знак Char Char Знак Char Char Знак Char Char Знак Char Char Знак Char Char1 Знак Char Char Знак Char Char Знак Char Char1 Char"/>
    <w:basedOn w:val="Normal"/>
    <w:semiHidden/>
    <w:rsid w:val="007E360C"/>
    <w:pPr>
      <w:tabs>
        <w:tab w:val="left" w:pos="709"/>
      </w:tabs>
    </w:pPr>
    <w:rPr>
      <w:rFonts w:ascii="Futura Bk" w:hAnsi="Futura Bk"/>
      <w:szCs w:val="24"/>
    </w:rPr>
  </w:style>
  <w:style w:type="paragraph" w:customStyle="1" w:styleId="CharCharCharChar1Char">
    <w:name w:val="Char Char Char Char1 Char"/>
    <w:basedOn w:val="Normal"/>
    <w:rsid w:val="007E360C"/>
    <w:pPr>
      <w:tabs>
        <w:tab w:val="left" w:pos="709"/>
      </w:tabs>
    </w:pPr>
    <w:rPr>
      <w:rFonts w:ascii="Tahoma" w:hAnsi="Tahoma"/>
      <w:szCs w:val="24"/>
    </w:rPr>
  </w:style>
  <w:style w:type="paragraph" w:customStyle="1" w:styleId="CharCharCharCharCharChar1CharCharChar1CharCharCharChar">
    <w:name w:val="Char Char Char Char Char Char1 Char Char Char1 Char Char Char Char"/>
    <w:basedOn w:val="Normal"/>
    <w:rsid w:val="007E360C"/>
    <w:pPr>
      <w:tabs>
        <w:tab w:val="left" w:pos="709"/>
      </w:tabs>
    </w:pPr>
    <w:rPr>
      <w:rFonts w:ascii="Tahoma" w:hAnsi="Tahoma"/>
      <w:szCs w:val="24"/>
    </w:rPr>
  </w:style>
  <w:style w:type="paragraph" w:customStyle="1" w:styleId="para-flush-spabove">
    <w:name w:val="para-flush-spabove"/>
    <w:basedOn w:val="Normal"/>
    <w:rsid w:val="007E360C"/>
    <w:pPr>
      <w:spacing w:before="100" w:beforeAutospacing="1" w:after="100" w:afterAutospacing="1"/>
    </w:pPr>
    <w:rPr>
      <w:szCs w:val="24"/>
      <w:lang w:val="en-US" w:eastAsia="en-US"/>
    </w:rPr>
  </w:style>
  <w:style w:type="paragraph" w:customStyle="1" w:styleId="CharChar1Char">
    <w:name w:val="Char Char1 Char"/>
    <w:basedOn w:val="Normal"/>
    <w:rsid w:val="007E360C"/>
    <w:pPr>
      <w:tabs>
        <w:tab w:val="left" w:pos="709"/>
      </w:tabs>
    </w:pPr>
    <w:rPr>
      <w:rFonts w:ascii="Tahoma" w:hAnsi="Tahoma"/>
      <w:szCs w:val="24"/>
    </w:rPr>
  </w:style>
  <w:style w:type="character" w:customStyle="1" w:styleId="breadcrumbs1">
    <w:name w:val="breadcrumbs1"/>
    <w:rsid w:val="007E360C"/>
    <w:rPr>
      <w:color w:val="365D98"/>
    </w:rPr>
  </w:style>
  <w:style w:type="character" w:customStyle="1" w:styleId="ctl00treeview201">
    <w:name w:val="ctl00_treeview2_01"/>
    <w:rsid w:val="007E360C"/>
    <w:rPr>
      <w:u w:val="none"/>
      <w:effect w:val="none"/>
    </w:rPr>
  </w:style>
  <w:style w:type="character" w:customStyle="1" w:styleId="hiddenref1">
    <w:name w:val="hiddenref1"/>
    <w:rsid w:val="007E360C"/>
    <w:rPr>
      <w:color w:val="000000"/>
      <w:u w:val="single"/>
    </w:rPr>
  </w:style>
  <w:style w:type="character" w:customStyle="1" w:styleId="ldef">
    <w:name w:val="ldef"/>
    <w:rsid w:val="007E360C"/>
  </w:style>
  <w:style w:type="paragraph" w:customStyle="1" w:styleId="CharCharCharChar1CharCharCharCharChar">
    <w:name w:val="Знак Char Char Знак Char Char1 Знак Char Char Char Char Char"/>
    <w:basedOn w:val="Normal"/>
    <w:rsid w:val="007E360C"/>
    <w:pPr>
      <w:spacing w:after="160" w:line="240" w:lineRule="exact"/>
    </w:pPr>
    <w:rPr>
      <w:rFonts w:ascii="Tahoma" w:hAnsi="Tahoma"/>
      <w:lang w:val="en-US" w:eastAsia="en-US"/>
    </w:rPr>
  </w:style>
  <w:style w:type="character" w:customStyle="1" w:styleId="NormalWebChar">
    <w:name w:val="Normal (Web) Char"/>
    <w:link w:val="NormalWeb"/>
    <w:uiPriority w:val="99"/>
    <w:locked/>
    <w:rsid w:val="007E360C"/>
    <w:rPr>
      <w:rFonts w:ascii="Verdana" w:eastAsia="Arial Unicode MS" w:hAnsi="Verdana" w:cs="Arial Unicode MS"/>
      <w:color w:val="000000"/>
      <w:sz w:val="18"/>
      <w:szCs w:val="18"/>
      <w:lang w:eastAsia="pl-PL"/>
    </w:rPr>
  </w:style>
  <w:style w:type="paragraph" w:customStyle="1" w:styleId="N-1">
    <w:name w:val="N-1"/>
    <w:basedOn w:val="Normal"/>
    <w:rsid w:val="007E360C"/>
    <w:pPr>
      <w:widowControl w:val="0"/>
      <w:adjustRightInd w:val="0"/>
      <w:spacing w:after="80" w:line="360" w:lineRule="atLeast"/>
      <w:ind w:left="284"/>
      <w:textAlignment w:val="baseline"/>
    </w:pPr>
    <w:rPr>
      <w:rFonts w:ascii="Unv" w:hAnsi="Unv"/>
      <w:lang w:val="en-US" w:eastAsia="en-US"/>
    </w:rPr>
  </w:style>
  <w:style w:type="paragraph" w:customStyle="1" w:styleId="CharChar4Char">
    <w:name w:val="Char Char4 Char"/>
    <w:basedOn w:val="Normal"/>
    <w:rsid w:val="007E360C"/>
    <w:pPr>
      <w:spacing w:after="160" w:line="240" w:lineRule="exact"/>
    </w:pPr>
    <w:rPr>
      <w:rFonts w:ascii="Tahoma" w:hAnsi="Tahoma"/>
      <w:lang w:val="en-US" w:eastAsia="en-US"/>
    </w:rPr>
  </w:style>
  <w:style w:type="character" w:customStyle="1" w:styleId="Heading2CharCharBookmanOldStyleChar4">
    <w:name w:val="Heading 2 Char Char + Bookman Old Style Char4"/>
    <w:aliases w:val="Gris - 80 % Char4,Gauche :  2 Char4,97 ... Char4,Címsor 3 Char Char Char"/>
    <w:rsid w:val="007E360C"/>
    <w:rPr>
      <w:rFonts w:ascii="Times New Roman" w:hAnsi="Times New Roman"/>
      <w:b/>
      <w:color w:val="000000"/>
      <w:sz w:val="20"/>
      <w:shd w:val="clear" w:color="auto" w:fill="FFFFFF"/>
      <w:lang w:val="en-GB" w:eastAsia="pl-PL"/>
    </w:rPr>
  </w:style>
  <w:style w:type="character" w:customStyle="1" w:styleId="CharChar10">
    <w:name w:val="Char Char10"/>
    <w:rsid w:val="007E360C"/>
    <w:rPr>
      <w:rFonts w:ascii="Verdana" w:eastAsia="Arial Unicode MS" w:hAnsi="Verdana"/>
      <w:color w:val="000000"/>
      <w:sz w:val="18"/>
      <w:lang w:val="pl-PL" w:eastAsia="pl-PL"/>
    </w:rPr>
  </w:style>
  <w:style w:type="paragraph" w:customStyle="1" w:styleId="CharCharCharCharCharCharChar">
    <w:name w:val="Char Char Знак Знак Char Знак Знак Char Char Char Знак Знак Char"/>
    <w:basedOn w:val="Normal"/>
    <w:rsid w:val="007E360C"/>
    <w:pPr>
      <w:tabs>
        <w:tab w:val="left" w:pos="709"/>
      </w:tabs>
    </w:pPr>
    <w:rPr>
      <w:rFonts w:ascii="Tahoma" w:hAnsi="Tahoma"/>
      <w:szCs w:val="24"/>
    </w:rPr>
  </w:style>
  <w:style w:type="paragraph" w:customStyle="1" w:styleId="a0">
    <w:name w:val="Знак"/>
    <w:basedOn w:val="Normal"/>
    <w:rsid w:val="007E360C"/>
    <w:pPr>
      <w:tabs>
        <w:tab w:val="left" w:pos="709"/>
      </w:tabs>
    </w:pPr>
    <w:rPr>
      <w:rFonts w:ascii="Tahoma" w:hAnsi="Tahoma"/>
      <w:szCs w:val="24"/>
      <w:lang w:val="pl-PL"/>
    </w:rPr>
  </w:style>
  <w:style w:type="paragraph" w:customStyle="1" w:styleId="CharCharCharCharCharCharCharCharChar1CharCharCharCharCharChar">
    <w:name w:val="Char Char Char Знак Char Char Знак Char Char Знак Char Char1 Знак Char Char Знак Char Char Знак Char Char Знак"/>
    <w:basedOn w:val="Normal"/>
    <w:semiHidden/>
    <w:rsid w:val="007E360C"/>
    <w:pPr>
      <w:tabs>
        <w:tab w:val="left" w:pos="709"/>
      </w:tabs>
    </w:pPr>
    <w:rPr>
      <w:rFonts w:ascii="Futura Bk" w:hAnsi="Futura Bk"/>
      <w:szCs w:val="24"/>
      <w:lang w:val="pl-PL"/>
    </w:rPr>
  </w:style>
  <w:style w:type="paragraph" w:customStyle="1" w:styleId="CharCharCharCharCharCharChar0">
    <w:name w:val="Знак Char Char Знак Char Char Char Char Char Знак"/>
    <w:basedOn w:val="Normal"/>
    <w:rsid w:val="007E360C"/>
    <w:pPr>
      <w:spacing w:after="160" w:line="240" w:lineRule="exact"/>
    </w:pPr>
    <w:rPr>
      <w:rFonts w:ascii="Tahoma" w:hAnsi="Tahoma"/>
      <w:lang w:val="en-US" w:eastAsia="en-US"/>
    </w:rPr>
  </w:style>
  <w:style w:type="character" w:customStyle="1" w:styleId="Heading3CharChar">
    <w:name w:val="Heading 3 Char Char"/>
    <w:aliases w:val="Heading 2 Char Char + Bookman Old Style Char1,Gris - 80 % Char1,Gauche :  2 Char1,97 ... Char1,Címsor 3 Char Char Char1"/>
    <w:rsid w:val="007E360C"/>
    <w:rPr>
      <w:b/>
      <w:color w:val="000000"/>
      <w:sz w:val="24"/>
      <w:lang w:val="en-GB" w:eastAsia="pl-PL"/>
    </w:rPr>
  </w:style>
  <w:style w:type="character" w:customStyle="1" w:styleId="CharChar3">
    <w:name w:val="Char Char3"/>
    <w:rsid w:val="007E360C"/>
    <w:rPr>
      <w:sz w:val="24"/>
      <w:lang w:val="bg-BG" w:eastAsia="pl-PL"/>
    </w:rPr>
  </w:style>
  <w:style w:type="character" w:customStyle="1" w:styleId="CharChar2">
    <w:name w:val="Char Char2"/>
    <w:rsid w:val="007E360C"/>
    <w:rPr>
      <w:i/>
      <w:sz w:val="24"/>
      <w:u w:val="single"/>
      <w:lang w:val="bg-BG" w:eastAsia="pl-PL"/>
    </w:rPr>
  </w:style>
  <w:style w:type="paragraph" w:customStyle="1" w:styleId="Heading2TimesNewRomanBold">
    <w:name w:val="Heading 2 + Times New Roman Bold"/>
    <w:aliases w:val="12 pt"/>
    <w:basedOn w:val="Heading1"/>
    <w:link w:val="Heading2TimesNewRomanBoldChar"/>
    <w:rsid w:val="007E360C"/>
    <w:pPr>
      <w:spacing w:before="0" w:after="0" w:line="240" w:lineRule="atLeast"/>
    </w:pPr>
    <w:rPr>
      <w:rFonts w:ascii="Times New Roman" w:hAnsi="Times New Roman"/>
      <w:kern w:val="20"/>
      <w:sz w:val="24"/>
      <w:szCs w:val="24"/>
      <w:u w:val="single"/>
      <w:lang w:eastAsia="en-US"/>
    </w:rPr>
  </w:style>
  <w:style w:type="character" w:customStyle="1" w:styleId="Heading2TimesNewRomanBoldChar">
    <w:name w:val="Heading 2 + Times New Roman Bold Char"/>
    <w:aliases w:val="12 pt Char"/>
    <w:link w:val="Heading2TimesNewRomanBold"/>
    <w:locked/>
    <w:rsid w:val="007E360C"/>
    <w:rPr>
      <w:rFonts w:ascii="Times New Roman" w:eastAsia="Times New Roman" w:hAnsi="Times New Roman" w:cs="Times New Roman"/>
      <w:b/>
      <w:bCs/>
      <w:kern w:val="20"/>
      <w:sz w:val="24"/>
      <w:szCs w:val="24"/>
      <w:u w:val="single"/>
    </w:rPr>
  </w:style>
  <w:style w:type="paragraph" w:customStyle="1" w:styleId="PMHeading1">
    <w:name w:val="PM Heading 1"/>
    <w:basedOn w:val="Normal"/>
    <w:link w:val="PMHeading1Char"/>
    <w:autoRedefine/>
    <w:rsid w:val="007E360C"/>
    <w:pPr>
      <w:pBdr>
        <w:top w:val="single" w:sz="4" w:space="1" w:color="auto"/>
        <w:left w:val="single" w:sz="4" w:space="15" w:color="auto"/>
        <w:bottom w:val="single" w:sz="4" w:space="1" w:color="auto"/>
        <w:right w:val="single" w:sz="4" w:space="4" w:color="auto"/>
      </w:pBdr>
      <w:shd w:val="clear" w:color="auto" w:fill="99CCFF"/>
      <w:spacing w:before="240" w:after="240"/>
      <w:ind w:right="141"/>
      <w:outlineLvl w:val="1"/>
    </w:pPr>
    <w:rPr>
      <w:b/>
      <w:color w:val="000000"/>
      <w:szCs w:val="24"/>
      <w:lang w:eastAsia="bg-BG"/>
    </w:rPr>
  </w:style>
  <w:style w:type="paragraph" w:customStyle="1" w:styleId="PMHeading2">
    <w:name w:val="PM Heading 2"/>
    <w:basedOn w:val="Normal"/>
    <w:link w:val="PMHeading2Char"/>
    <w:rsid w:val="007E360C"/>
    <w:pPr>
      <w:pBdr>
        <w:top w:val="single" w:sz="4" w:space="1" w:color="auto"/>
        <w:left w:val="single" w:sz="4" w:space="15" w:color="auto"/>
        <w:bottom w:val="single" w:sz="4" w:space="1" w:color="auto"/>
        <w:right w:val="single" w:sz="4" w:space="4" w:color="auto"/>
      </w:pBdr>
      <w:shd w:val="clear" w:color="auto" w:fill="DBE5F1"/>
      <w:tabs>
        <w:tab w:val="left" w:pos="851"/>
      </w:tabs>
      <w:spacing w:before="120" w:after="120"/>
      <w:ind w:right="141"/>
      <w:outlineLvl w:val="2"/>
    </w:pPr>
    <w:rPr>
      <w:rFonts w:ascii="Times New Roman Bold" w:hAnsi="Times New Roman Bold"/>
      <w:b/>
      <w:color w:val="000000"/>
      <w:spacing w:val="10"/>
      <w:szCs w:val="24"/>
    </w:rPr>
  </w:style>
  <w:style w:type="character" w:customStyle="1" w:styleId="PMHeading1Char">
    <w:name w:val="PM Heading 1 Char"/>
    <w:link w:val="PMHeading1"/>
    <w:locked/>
    <w:rsid w:val="007E360C"/>
    <w:rPr>
      <w:rFonts w:ascii="Times New Roman" w:eastAsia="Times New Roman" w:hAnsi="Times New Roman" w:cs="Times New Roman"/>
      <w:b/>
      <w:color w:val="000000"/>
      <w:sz w:val="24"/>
      <w:szCs w:val="24"/>
      <w:shd w:val="clear" w:color="auto" w:fill="99CCFF"/>
      <w:lang w:eastAsia="bg-BG"/>
    </w:rPr>
  </w:style>
  <w:style w:type="paragraph" w:customStyle="1" w:styleId="PMnumeric">
    <w:name w:val="PM numeric"/>
    <w:basedOn w:val="Normal"/>
    <w:link w:val="PMnumericChar"/>
    <w:rsid w:val="007E360C"/>
    <w:pPr>
      <w:numPr>
        <w:numId w:val="16"/>
      </w:numPr>
      <w:spacing w:before="134"/>
    </w:pPr>
    <w:rPr>
      <w:spacing w:val="10"/>
      <w:szCs w:val="24"/>
      <w:lang w:eastAsia="bg-BG"/>
    </w:rPr>
  </w:style>
  <w:style w:type="character" w:customStyle="1" w:styleId="PMHeading2Char">
    <w:name w:val="PM Heading 2 Char"/>
    <w:link w:val="PMHeading2"/>
    <w:locked/>
    <w:rsid w:val="007E360C"/>
    <w:rPr>
      <w:rFonts w:ascii="Times New Roman Bold" w:eastAsia="Times New Roman" w:hAnsi="Times New Roman Bold" w:cs="Times New Roman"/>
      <w:b/>
      <w:color w:val="000000"/>
      <w:spacing w:val="10"/>
      <w:sz w:val="24"/>
      <w:szCs w:val="24"/>
      <w:shd w:val="clear" w:color="auto" w:fill="DBE5F1"/>
      <w:lang w:eastAsia="pl-PL"/>
    </w:rPr>
  </w:style>
  <w:style w:type="paragraph" w:customStyle="1" w:styleId="PMHeading3">
    <w:name w:val="PM Heading 3"/>
    <w:basedOn w:val="Normal"/>
    <w:link w:val="PMHeading3Char"/>
    <w:rsid w:val="007E360C"/>
    <w:pPr>
      <w:shd w:val="clear" w:color="auto" w:fill="FFFFFF"/>
      <w:spacing w:before="120" w:after="120"/>
      <w:outlineLvl w:val="0"/>
    </w:pPr>
    <w:rPr>
      <w:rFonts w:ascii="Times New Roman Bold" w:hAnsi="Times New Roman Bold"/>
      <w:b/>
      <w:color w:val="000000"/>
      <w:spacing w:val="10"/>
      <w:szCs w:val="24"/>
    </w:rPr>
  </w:style>
  <w:style w:type="character" w:customStyle="1" w:styleId="PMnumericChar">
    <w:name w:val="PM numeric Char"/>
    <w:link w:val="PMnumeric"/>
    <w:locked/>
    <w:rsid w:val="007E360C"/>
    <w:rPr>
      <w:rFonts w:ascii="Times New Roman" w:eastAsia="Times New Roman" w:hAnsi="Times New Roman" w:cs="Times New Roman"/>
      <w:spacing w:val="10"/>
      <w:sz w:val="24"/>
      <w:szCs w:val="24"/>
      <w:lang w:eastAsia="bg-BG"/>
    </w:rPr>
  </w:style>
  <w:style w:type="paragraph" w:customStyle="1" w:styleId="PMNormalStyle1">
    <w:name w:val="PM Normal Style 1"/>
    <w:basedOn w:val="Normal"/>
    <w:link w:val="PMNormalStyle1Char"/>
    <w:rsid w:val="007E360C"/>
    <w:rPr>
      <w:spacing w:val="10"/>
      <w:szCs w:val="24"/>
    </w:rPr>
  </w:style>
  <w:style w:type="character" w:customStyle="1" w:styleId="PMHeading3Char">
    <w:name w:val="PM Heading 3 Char"/>
    <w:link w:val="PMHeading3"/>
    <w:locked/>
    <w:rsid w:val="007E360C"/>
    <w:rPr>
      <w:rFonts w:ascii="Times New Roman Bold" w:eastAsia="Times New Roman" w:hAnsi="Times New Roman Bold" w:cs="Times New Roman"/>
      <w:b/>
      <w:color w:val="000000"/>
      <w:spacing w:val="10"/>
      <w:sz w:val="24"/>
      <w:szCs w:val="24"/>
      <w:shd w:val="clear" w:color="auto" w:fill="FFFFFF"/>
      <w:lang w:eastAsia="pl-PL"/>
    </w:rPr>
  </w:style>
  <w:style w:type="character" w:customStyle="1" w:styleId="PMNormalStyle1Char">
    <w:name w:val="PM Normal Style 1 Char"/>
    <w:link w:val="PMNormalStyle1"/>
    <w:locked/>
    <w:rsid w:val="007E360C"/>
    <w:rPr>
      <w:rFonts w:ascii="Times New Roman" w:eastAsia="Times New Roman" w:hAnsi="Times New Roman" w:cs="Times New Roman"/>
      <w:spacing w:val="10"/>
      <w:sz w:val="24"/>
      <w:szCs w:val="24"/>
      <w:lang w:eastAsia="pl-PL"/>
    </w:rPr>
  </w:style>
  <w:style w:type="character" w:customStyle="1" w:styleId="apple-converted-space">
    <w:name w:val="apple-converted-space"/>
    <w:rsid w:val="007E360C"/>
  </w:style>
  <w:style w:type="character" w:customStyle="1" w:styleId="italic">
    <w:name w:val="italic"/>
    <w:rsid w:val="007E360C"/>
  </w:style>
  <w:style w:type="character" w:customStyle="1" w:styleId="super">
    <w:name w:val="super"/>
    <w:rsid w:val="007E360C"/>
  </w:style>
  <w:style w:type="paragraph" w:customStyle="1" w:styleId="CharCharChar3">
    <w:name w:val="Char Char Char3"/>
    <w:basedOn w:val="Normal"/>
    <w:rsid w:val="007E360C"/>
    <w:pPr>
      <w:tabs>
        <w:tab w:val="left" w:pos="709"/>
      </w:tabs>
    </w:pPr>
    <w:rPr>
      <w:rFonts w:ascii="Tahoma" w:hAnsi="Tahoma"/>
      <w:szCs w:val="24"/>
    </w:rPr>
  </w:style>
  <w:style w:type="paragraph" w:customStyle="1" w:styleId="CharCharCharCharCharCharCharCharCharCharCharCharCharCharCharCharCharCharCharCharChar1CharCharCharCharCharCharCharCharCharCharCharChar1CharCharChar1CharCharCharCharCharChar3">
    <w:name w:val="Char Char Char Char Char Char Char Char Char Char Char Char Char Char Char Char Char Char Char Char Char1 Char Char Char Char Char Char Char Char Char Char Char Char1 Char Char Char1 Char Char Char Char Char Char3"/>
    <w:basedOn w:val="Normal"/>
    <w:rsid w:val="007E360C"/>
    <w:pPr>
      <w:tabs>
        <w:tab w:val="left" w:pos="709"/>
      </w:tabs>
      <w:spacing w:line="360" w:lineRule="auto"/>
    </w:pPr>
    <w:rPr>
      <w:rFonts w:ascii="Tahoma" w:hAnsi="Tahoma"/>
      <w:szCs w:val="24"/>
    </w:rPr>
  </w:style>
  <w:style w:type="table" w:customStyle="1" w:styleId="TableGrid2">
    <w:name w:val="Table Grid2"/>
    <w:basedOn w:val="TableNormal"/>
    <w:next w:val="TableGrid"/>
    <w:rsid w:val="007E360C"/>
    <w:pPr>
      <w:spacing w:before="120" w:after="0" w:line="240" w:lineRule="auto"/>
      <w:jc w:val="both"/>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6">
    <w:name w:val="Char Char6"/>
    <w:rsid w:val="007E360C"/>
    <w:rPr>
      <w:b/>
      <w:color w:val="FF0000"/>
      <w:sz w:val="24"/>
      <w:lang w:val="en-US" w:eastAsia="bg-BG"/>
    </w:rPr>
  </w:style>
  <w:style w:type="paragraph" w:customStyle="1" w:styleId="Char3">
    <w:name w:val="Char3"/>
    <w:basedOn w:val="Normal"/>
    <w:rsid w:val="007E360C"/>
    <w:pPr>
      <w:spacing w:after="160" w:line="240" w:lineRule="exact"/>
    </w:pPr>
    <w:rPr>
      <w:rFonts w:ascii="Tahoma" w:hAnsi="Tahoma"/>
      <w:lang w:val="en-US" w:eastAsia="en-US"/>
    </w:rPr>
  </w:style>
  <w:style w:type="table" w:customStyle="1" w:styleId="TableWeb11">
    <w:name w:val="Table Web 11"/>
    <w:basedOn w:val="TableNormal"/>
    <w:next w:val="TableWeb1"/>
    <w:rsid w:val="007E360C"/>
    <w:pPr>
      <w:spacing w:after="0" w:line="240" w:lineRule="auto"/>
    </w:pPr>
    <w:rPr>
      <w:rFonts w:ascii="Times New Roman" w:eastAsia="Times New Roman" w:hAnsi="Times New Roman" w:cs="Times New Roman"/>
      <w:sz w:val="20"/>
      <w:szCs w:val="20"/>
      <w:lang w:eastAsia="bg-BG"/>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31">
    <w:name w:val="Table Web 31"/>
    <w:basedOn w:val="TableNormal"/>
    <w:next w:val="TableWeb3"/>
    <w:rsid w:val="007E360C"/>
    <w:pPr>
      <w:spacing w:after="0" w:line="240" w:lineRule="auto"/>
    </w:pPr>
    <w:rPr>
      <w:rFonts w:ascii="Times New Roman" w:eastAsia="Times New Roman" w:hAnsi="Times New Roman" w:cs="Times New Roman"/>
      <w:sz w:val="20"/>
      <w:szCs w:val="20"/>
      <w:lang w:eastAsia="bg-BG"/>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List71">
    <w:name w:val="Table List 71"/>
    <w:basedOn w:val="TableNormal"/>
    <w:next w:val="TableList7"/>
    <w:rsid w:val="007E360C"/>
    <w:pPr>
      <w:spacing w:after="0" w:line="240" w:lineRule="auto"/>
    </w:pPr>
    <w:rPr>
      <w:rFonts w:ascii="Times New Roman" w:eastAsia="Times New Roman" w:hAnsi="Times New Roman" w:cs="Times New Roman"/>
      <w:sz w:val="20"/>
      <w:szCs w:val="20"/>
      <w:lang w:eastAsia="bg-BG"/>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TableElegant1">
    <w:name w:val="Table Elegant1"/>
    <w:basedOn w:val="TableNormal"/>
    <w:next w:val="TableElegant"/>
    <w:rsid w:val="007E360C"/>
    <w:pPr>
      <w:spacing w:after="0" w:line="240" w:lineRule="auto"/>
    </w:pPr>
    <w:rPr>
      <w:rFonts w:ascii="Times New Roman" w:eastAsia="Times New Roman" w:hAnsi="Times New Roman" w:cs="Times New Roman"/>
      <w:sz w:val="20"/>
      <w:szCs w:val="20"/>
      <w:lang w:eastAsia="bg-BG"/>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leGrid12">
    <w:name w:val="Table Grid12"/>
    <w:basedOn w:val="TableNormal"/>
    <w:next w:val="TableGrid"/>
    <w:rsid w:val="007E360C"/>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3">
    <w:name w:val="Char Char Char Char Char Char3"/>
    <w:basedOn w:val="Normal"/>
    <w:rsid w:val="007E360C"/>
    <w:pPr>
      <w:tabs>
        <w:tab w:val="left" w:pos="709"/>
      </w:tabs>
    </w:pPr>
    <w:rPr>
      <w:rFonts w:ascii="Tahoma" w:hAnsi="Tahoma"/>
      <w:szCs w:val="24"/>
    </w:rPr>
  </w:style>
  <w:style w:type="paragraph" w:customStyle="1" w:styleId="CharChar5CharCharCharCharCharCharCharCharCharChar1CharCharCharCharCharChar1Char3">
    <w:name w:val="Char Char5 Знак Char Char Знак Char Char Знак Char Char Знак Char Char Знак Char Char1 Знак Char Char Знак Char Char Знак Char Char1 Char3"/>
    <w:basedOn w:val="Normal"/>
    <w:semiHidden/>
    <w:rsid w:val="007E360C"/>
    <w:pPr>
      <w:tabs>
        <w:tab w:val="left" w:pos="709"/>
      </w:tabs>
    </w:pPr>
    <w:rPr>
      <w:rFonts w:ascii="Futura Bk" w:hAnsi="Futura Bk"/>
      <w:szCs w:val="24"/>
    </w:rPr>
  </w:style>
  <w:style w:type="paragraph" w:customStyle="1" w:styleId="CharCharCharChar1Char3">
    <w:name w:val="Char Char Char Char1 Char3"/>
    <w:basedOn w:val="Normal"/>
    <w:rsid w:val="007E360C"/>
    <w:pPr>
      <w:tabs>
        <w:tab w:val="left" w:pos="709"/>
      </w:tabs>
    </w:pPr>
    <w:rPr>
      <w:rFonts w:ascii="Tahoma" w:hAnsi="Tahoma"/>
      <w:szCs w:val="24"/>
    </w:rPr>
  </w:style>
  <w:style w:type="paragraph" w:customStyle="1" w:styleId="CharCharCharCharCharChar1CharCharChar1CharCharCharChar3">
    <w:name w:val="Char Char Char Char Char Char1 Char Char Char1 Char Char Char Char3"/>
    <w:basedOn w:val="Normal"/>
    <w:rsid w:val="007E360C"/>
    <w:pPr>
      <w:tabs>
        <w:tab w:val="left" w:pos="709"/>
      </w:tabs>
    </w:pPr>
    <w:rPr>
      <w:rFonts w:ascii="Tahoma" w:hAnsi="Tahoma"/>
      <w:szCs w:val="24"/>
    </w:rPr>
  </w:style>
  <w:style w:type="paragraph" w:customStyle="1" w:styleId="CharChar1Char3">
    <w:name w:val="Char Char1 Char3"/>
    <w:basedOn w:val="Normal"/>
    <w:rsid w:val="007E360C"/>
    <w:pPr>
      <w:tabs>
        <w:tab w:val="left" w:pos="709"/>
      </w:tabs>
    </w:pPr>
    <w:rPr>
      <w:rFonts w:ascii="Tahoma" w:hAnsi="Tahoma"/>
      <w:szCs w:val="24"/>
    </w:rPr>
  </w:style>
  <w:style w:type="paragraph" w:customStyle="1" w:styleId="CharCharChar1CharCharChar3">
    <w:name w:val="Char Char Char1 Char Char Char3"/>
    <w:basedOn w:val="Normal"/>
    <w:rsid w:val="007E360C"/>
    <w:pPr>
      <w:spacing w:after="160" w:line="240" w:lineRule="exact"/>
    </w:pPr>
    <w:rPr>
      <w:rFonts w:ascii="Tahoma" w:hAnsi="Tahoma"/>
      <w:lang w:val="en-US" w:eastAsia="en-US"/>
    </w:rPr>
  </w:style>
  <w:style w:type="paragraph" w:customStyle="1" w:styleId="CharCharCharChar1CharCharCharCharChar3">
    <w:name w:val="Знак Char Char Знак Char Char1 Знак Char Char Char Char Char3"/>
    <w:basedOn w:val="Normal"/>
    <w:rsid w:val="007E360C"/>
    <w:pPr>
      <w:spacing w:after="160" w:line="240" w:lineRule="exact"/>
    </w:pPr>
    <w:rPr>
      <w:rFonts w:ascii="Tahoma" w:hAnsi="Tahoma"/>
      <w:lang w:val="en-US" w:eastAsia="en-US"/>
    </w:rPr>
  </w:style>
  <w:style w:type="paragraph" w:customStyle="1" w:styleId="CharChar4Char3">
    <w:name w:val="Char Char4 Char3"/>
    <w:basedOn w:val="Normal"/>
    <w:rsid w:val="007E360C"/>
    <w:pPr>
      <w:spacing w:after="160" w:line="240" w:lineRule="exact"/>
    </w:pPr>
    <w:rPr>
      <w:rFonts w:ascii="Tahoma" w:hAnsi="Tahoma"/>
      <w:lang w:val="en-US" w:eastAsia="en-US"/>
    </w:rPr>
  </w:style>
  <w:style w:type="character" w:customStyle="1" w:styleId="CharChar103">
    <w:name w:val="Char Char103"/>
    <w:rsid w:val="007E360C"/>
    <w:rPr>
      <w:rFonts w:ascii="Verdana" w:eastAsia="Arial Unicode MS" w:hAnsi="Verdana"/>
      <w:color w:val="000000"/>
      <w:sz w:val="18"/>
      <w:lang w:val="pl-PL" w:eastAsia="pl-PL"/>
    </w:rPr>
  </w:style>
  <w:style w:type="paragraph" w:customStyle="1" w:styleId="CharCharCharCharCharCharChar3">
    <w:name w:val="Char Char Знак Знак Char Знак Знак Char Char Char Знак Знак Char3"/>
    <w:basedOn w:val="Normal"/>
    <w:rsid w:val="007E360C"/>
    <w:pPr>
      <w:tabs>
        <w:tab w:val="left" w:pos="709"/>
      </w:tabs>
    </w:pPr>
    <w:rPr>
      <w:rFonts w:ascii="Tahoma" w:hAnsi="Tahoma"/>
      <w:szCs w:val="24"/>
    </w:rPr>
  </w:style>
  <w:style w:type="paragraph" w:customStyle="1" w:styleId="3">
    <w:name w:val="Знак3"/>
    <w:basedOn w:val="Normal"/>
    <w:rsid w:val="007E360C"/>
    <w:pPr>
      <w:tabs>
        <w:tab w:val="left" w:pos="709"/>
      </w:tabs>
    </w:pPr>
    <w:rPr>
      <w:rFonts w:ascii="Tahoma" w:hAnsi="Tahoma"/>
      <w:szCs w:val="24"/>
      <w:lang w:val="pl-PL"/>
    </w:rPr>
  </w:style>
  <w:style w:type="paragraph" w:customStyle="1" w:styleId="CharCharCharCharCharCharCharCharChar1CharCharCharCharCharChar3">
    <w:name w:val="Char Char Char Знак Char Char Знак Char Char Знак Char Char1 Знак Char Char Знак Char Char Знак Char Char Знак3"/>
    <w:basedOn w:val="Normal"/>
    <w:semiHidden/>
    <w:rsid w:val="007E360C"/>
    <w:pPr>
      <w:tabs>
        <w:tab w:val="left" w:pos="709"/>
      </w:tabs>
    </w:pPr>
    <w:rPr>
      <w:rFonts w:ascii="Futura Bk" w:hAnsi="Futura Bk"/>
      <w:szCs w:val="24"/>
      <w:lang w:val="pl-PL"/>
    </w:rPr>
  </w:style>
  <w:style w:type="paragraph" w:customStyle="1" w:styleId="CharCharCharCharCharCharChar30">
    <w:name w:val="Знак Char Char Знак Char Char Char Char Char Знак3"/>
    <w:basedOn w:val="Normal"/>
    <w:rsid w:val="007E360C"/>
    <w:pPr>
      <w:spacing w:after="160" w:line="240" w:lineRule="exact"/>
    </w:pPr>
    <w:rPr>
      <w:rFonts w:ascii="Tahoma" w:hAnsi="Tahoma"/>
      <w:lang w:val="en-US" w:eastAsia="en-US"/>
    </w:rPr>
  </w:style>
  <w:style w:type="character" w:customStyle="1" w:styleId="CharChar33">
    <w:name w:val="Char Char33"/>
    <w:rsid w:val="007E360C"/>
    <w:rPr>
      <w:sz w:val="24"/>
      <w:lang w:val="bg-BG" w:eastAsia="pl-PL"/>
    </w:rPr>
  </w:style>
  <w:style w:type="character" w:customStyle="1" w:styleId="CharChar23">
    <w:name w:val="Char Char23"/>
    <w:rsid w:val="007E360C"/>
    <w:rPr>
      <w:i/>
      <w:sz w:val="24"/>
      <w:u w:val="single"/>
      <w:lang w:val="bg-BG" w:eastAsia="pl-PL"/>
    </w:rPr>
  </w:style>
  <w:style w:type="character" w:customStyle="1" w:styleId="ListParagraphChar">
    <w:name w:val="List Paragraph Char"/>
    <w:aliases w:val="Normal List Char,Списък на абзаци Char,Endnote Char,Indent Char,ПАРАГРАФ Char,Гл точки Char,punto elenco Char,bullet2 Char"/>
    <w:link w:val="ListParagraph"/>
    <w:uiPriority w:val="34"/>
    <w:qFormat/>
    <w:locked/>
    <w:rsid w:val="007E360C"/>
    <w:rPr>
      <w:rFonts w:ascii="Times New Roman" w:eastAsia="Times New Roman" w:hAnsi="Times New Roman" w:cs="Times New Roman"/>
      <w:sz w:val="24"/>
      <w:szCs w:val="20"/>
      <w:lang w:eastAsia="pl-PL"/>
    </w:rPr>
  </w:style>
  <w:style w:type="paragraph" w:customStyle="1" w:styleId="sti-art">
    <w:name w:val="sti-art"/>
    <w:basedOn w:val="Normal"/>
    <w:rsid w:val="007E360C"/>
    <w:pPr>
      <w:spacing w:before="100" w:beforeAutospacing="1" w:after="100" w:afterAutospacing="1"/>
    </w:pPr>
    <w:rPr>
      <w:szCs w:val="24"/>
      <w:lang w:val="en-US" w:eastAsia="en-US"/>
    </w:rPr>
  </w:style>
  <w:style w:type="paragraph" w:customStyle="1" w:styleId="Normal2">
    <w:name w:val="Normal2"/>
    <w:basedOn w:val="Normal"/>
    <w:rsid w:val="007E360C"/>
    <w:pPr>
      <w:spacing w:before="100" w:beforeAutospacing="1" w:after="100" w:afterAutospacing="1"/>
    </w:pPr>
    <w:rPr>
      <w:szCs w:val="24"/>
      <w:lang w:val="en-US" w:eastAsia="en-US"/>
    </w:rPr>
  </w:style>
  <w:style w:type="paragraph" w:customStyle="1" w:styleId="doc-ti">
    <w:name w:val="doc-ti"/>
    <w:basedOn w:val="Normal"/>
    <w:rsid w:val="007E360C"/>
    <w:pPr>
      <w:spacing w:before="100" w:beforeAutospacing="1" w:after="100" w:afterAutospacing="1"/>
    </w:pPr>
    <w:rPr>
      <w:szCs w:val="24"/>
      <w:lang w:eastAsia="bg-BG"/>
    </w:rPr>
  </w:style>
  <w:style w:type="paragraph" w:customStyle="1" w:styleId="hd-oj">
    <w:name w:val="hd-oj"/>
    <w:basedOn w:val="Normal"/>
    <w:rsid w:val="007E360C"/>
    <w:pPr>
      <w:spacing w:before="100" w:beforeAutospacing="1" w:after="100" w:afterAutospacing="1"/>
    </w:pPr>
    <w:rPr>
      <w:szCs w:val="24"/>
      <w:lang w:eastAsia="bg-BG"/>
    </w:rPr>
  </w:style>
  <w:style w:type="character" w:customStyle="1" w:styleId="hps">
    <w:name w:val="hps"/>
    <w:rsid w:val="007E360C"/>
  </w:style>
  <w:style w:type="character" w:customStyle="1" w:styleId="CharChar5">
    <w:name w:val="Char Char5"/>
    <w:rsid w:val="007E360C"/>
    <w:rPr>
      <w:rFonts w:ascii="Arial" w:hAnsi="Arial"/>
      <w:sz w:val="24"/>
      <w:lang w:val="bg-BG" w:eastAsia="en-US"/>
    </w:rPr>
  </w:style>
  <w:style w:type="paragraph" w:customStyle="1" w:styleId="Normal3">
    <w:name w:val="Normal3"/>
    <w:basedOn w:val="Normal"/>
    <w:rsid w:val="007E360C"/>
    <w:pPr>
      <w:spacing w:before="120"/>
    </w:pPr>
    <w:rPr>
      <w:szCs w:val="24"/>
      <w:lang w:val="en-GB" w:eastAsia="en-GB"/>
    </w:rPr>
  </w:style>
  <w:style w:type="paragraph" w:customStyle="1" w:styleId="Bullet">
    <w:name w:val="Bullet"/>
    <w:next w:val="Normal"/>
    <w:autoRedefine/>
    <w:uiPriority w:val="99"/>
    <w:rsid w:val="007E360C"/>
    <w:pPr>
      <w:numPr>
        <w:numId w:val="21"/>
      </w:numPr>
      <w:tabs>
        <w:tab w:val="clear" w:pos="360"/>
      </w:tabs>
      <w:autoSpaceDE w:val="0"/>
      <w:autoSpaceDN w:val="0"/>
      <w:adjustRightInd w:val="0"/>
      <w:spacing w:after="0" w:line="240" w:lineRule="auto"/>
      <w:ind w:left="1134" w:right="-171"/>
      <w:jc w:val="both"/>
    </w:pPr>
    <w:rPr>
      <w:rFonts w:ascii="Times New Roman" w:eastAsia="Times New Roman" w:hAnsi="Times New Roman" w:cs="Times New Roman"/>
      <w:i/>
      <w:color w:val="000000"/>
      <w:sz w:val="24"/>
      <w:szCs w:val="24"/>
    </w:rPr>
  </w:style>
  <w:style w:type="paragraph" w:customStyle="1" w:styleId="CharCharChar2">
    <w:name w:val="Char Char Char2"/>
    <w:basedOn w:val="Normal"/>
    <w:rsid w:val="007E360C"/>
    <w:pPr>
      <w:tabs>
        <w:tab w:val="left" w:pos="709"/>
      </w:tabs>
    </w:pPr>
    <w:rPr>
      <w:rFonts w:ascii="Tahoma" w:hAnsi="Tahoma"/>
      <w:szCs w:val="24"/>
    </w:rPr>
  </w:style>
  <w:style w:type="paragraph" w:customStyle="1" w:styleId="CharCharCharCharCharCharCharCharCharCharCharCharCharCharCharCharCharCharCharCharChar1CharCharCharCharCharCharCharCharCharCharCharChar1CharCharChar1CharCharCharCharCharChar2">
    <w:name w:val="Char Char Char Char Char Char Char Char Char Char Char Char Char Char Char Char Char Char Char Char Char1 Char Char Char Char Char Char Char Char Char Char Char Char1 Char Char Char1 Char Char Char Char Char Char2"/>
    <w:basedOn w:val="Normal"/>
    <w:rsid w:val="007E360C"/>
    <w:pPr>
      <w:tabs>
        <w:tab w:val="left" w:pos="709"/>
      </w:tabs>
      <w:spacing w:line="360" w:lineRule="auto"/>
    </w:pPr>
    <w:rPr>
      <w:rFonts w:ascii="Tahoma" w:hAnsi="Tahoma"/>
      <w:szCs w:val="24"/>
    </w:rPr>
  </w:style>
  <w:style w:type="character" w:customStyle="1" w:styleId="CharChar4">
    <w:name w:val="Char Char4"/>
    <w:rsid w:val="007E360C"/>
    <w:rPr>
      <w:b/>
      <w:color w:val="FF0000"/>
      <w:sz w:val="24"/>
      <w:lang w:val="en-US" w:eastAsia="bg-BG"/>
    </w:rPr>
  </w:style>
  <w:style w:type="paragraph" w:customStyle="1" w:styleId="Char2">
    <w:name w:val="Char2"/>
    <w:basedOn w:val="Normal"/>
    <w:rsid w:val="007E360C"/>
    <w:pPr>
      <w:spacing w:after="160" w:line="240" w:lineRule="exact"/>
    </w:pPr>
    <w:rPr>
      <w:rFonts w:ascii="Tahoma" w:hAnsi="Tahoma"/>
      <w:lang w:val="en-US" w:eastAsia="en-US"/>
    </w:rPr>
  </w:style>
  <w:style w:type="paragraph" w:customStyle="1" w:styleId="CharCharCharCharCharChar2">
    <w:name w:val="Char Char Char Char Char Char2"/>
    <w:basedOn w:val="Normal"/>
    <w:rsid w:val="007E360C"/>
    <w:pPr>
      <w:tabs>
        <w:tab w:val="left" w:pos="709"/>
      </w:tabs>
    </w:pPr>
    <w:rPr>
      <w:rFonts w:ascii="Tahoma" w:hAnsi="Tahoma"/>
      <w:szCs w:val="24"/>
    </w:rPr>
  </w:style>
  <w:style w:type="paragraph" w:customStyle="1" w:styleId="CharChar5CharCharCharCharCharCharCharCharCharChar1CharCharCharCharCharChar1Char2">
    <w:name w:val="Char Char5 Знак Char Char Знак Char Char Знак Char Char Знак Char Char Знак Char Char1 Знак Char Char Знак Char Char Знак Char Char1 Char2"/>
    <w:basedOn w:val="Normal"/>
    <w:semiHidden/>
    <w:rsid w:val="007E360C"/>
    <w:pPr>
      <w:tabs>
        <w:tab w:val="left" w:pos="709"/>
      </w:tabs>
    </w:pPr>
    <w:rPr>
      <w:rFonts w:ascii="Futura Bk" w:hAnsi="Futura Bk"/>
      <w:szCs w:val="24"/>
    </w:rPr>
  </w:style>
  <w:style w:type="paragraph" w:customStyle="1" w:styleId="CharCharCharChar1Char2">
    <w:name w:val="Char Char Char Char1 Char2"/>
    <w:basedOn w:val="Normal"/>
    <w:rsid w:val="007E360C"/>
    <w:pPr>
      <w:tabs>
        <w:tab w:val="left" w:pos="709"/>
      </w:tabs>
    </w:pPr>
    <w:rPr>
      <w:rFonts w:ascii="Tahoma" w:hAnsi="Tahoma"/>
      <w:szCs w:val="24"/>
    </w:rPr>
  </w:style>
  <w:style w:type="paragraph" w:customStyle="1" w:styleId="CharCharCharCharCharChar1CharCharChar1CharCharCharChar2">
    <w:name w:val="Char Char Char Char Char Char1 Char Char Char1 Char Char Char Char2"/>
    <w:basedOn w:val="Normal"/>
    <w:rsid w:val="007E360C"/>
    <w:pPr>
      <w:tabs>
        <w:tab w:val="left" w:pos="709"/>
      </w:tabs>
    </w:pPr>
    <w:rPr>
      <w:rFonts w:ascii="Tahoma" w:hAnsi="Tahoma"/>
      <w:szCs w:val="24"/>
    </w:rPr>
  </w:style>
  <w:style w:type="paragraph" w:customStyle="1" w:styleId="CharChar1Char2">
    <w:name w:val="Char Char1 Char2"/>
    <w:basedOn w:val="Normal"/>
    <w:rsid w:val="007E360C"/>
    <w:pPr>
      <w:tabs>
        <w:tab w:val="left" w:pos="709"/>
      </w:tabs>
    </w:pPr>
    <w:rPr>
      <w:rFonts w:ascii="Tahoma" w:hAnsi="Tahoma"/>
      <w:szCs w:val="24"/>
    </w:rPr>
  </w:style>
  <w:style w:type="paragraph" w:customStyle="1" w:styleId="CharCharChar1CharCharChar2">
    <w:name w:val="Char Char Char1 Char Char Char2"/>
    <w:basedOn w:val="Normal"/>
    <w:rsid w:val="007E360C"/>
    <w:pPr>
      <w:spacing w:after="160" w:line="240" w:lineRule="exact"/>
    </w:pPr>
    <w:rPr>
      <w:rFonts w:ascii="Tahoma" w:hAnsi="Tahoma"/>
      <w:lang w:val="en-US" w:eastAsia="en-US"/>
    </w:rPr>
  </w:style>
  <w:style w:type="paragraph" w:customStyle="1" w:styleId="CharCharCharChar1CharCharCharCharChar2">
    <w:name w:val="Знак Char Char Знак Char Char1 Знак Char Char Char Char Char2"/>
    <w:basedOn w:val="Normal"/>
    <w:rsid w:val="007E360C"/>
    <w:pPr>
      <w:spacing w:after="160" w:line="240" w:lineRule="exact"/>
    </w:pPr>
    <w:rPr>
      <w:rFonts w:ascii="Tahoma" w:hAnsi="Tahoma"/>
      <w:lang w:val="en-US" w:eastAsia="en-US"/>
    </w:rPr>
  </w:style>
  <w:style w:type="paragraph" w:customStyle="1" w:styleId="CharChar4Char2">
    <w:name w:val="Char Char4 Char2"/>
    <w:basedOn w:val="Normal"/>
    <w:rsid w:val="007E360C"/>
    <w:pPr>
      <w:spacing w:after="160" w:line="240" w:lineRule="exact"/>
    </w:pPr>
    <w:rPr>
      <w:rFonts w:ascii="Tahoma" w:hAnsi="Tahoma"/>
      <w:lang w:val="en-US" w:eastAsia="en-US"/>
    </w:rPr>
  </w:style>
  <w:style w:type="character" w:customStyle="1" w:styleId="CharChar102">
    <w:name w:val="Char Char102"/>
    <w:rsid w:val="007E360C"/>
    <w:rPr>
      <w:rFonts w:ascii="Verdana" w:eastAsia="Arial Unicode MS" w:hAnsi="Verdana"/>
      <w:color w:val="000000"/>
      <w:sz w:val="18"/>
      <w:lang w:val="pl-PL" w:eastAsia="pl-PL"/>
    </w:rPr>
  </w:style>
  <w:style w:type="paragraph" w:customStyle="1" w:styleId="CharCharCharCharCharCharChar2">
    <w:name w:val="Char Char Знак Знак Char Знак Знак Char Char Char Знак Знак Char2"/>
    <w:basedOn w:val="Normal"/>
    <w:rsid w:val="007E360C"/>
    <w:pPr>
      <w:tabs>
        <w:tab w:val="left" w:pos="709"/>
      </w:tabs>
    </w:pPr>
    <w:rPr>
      <w:rFonts w:ascii="Tahoma" w:hAnsi="Tahoma"/>
      <w:szCs w:val="24"/>
    </w:rPr>
  </w:style>
  <w:style w:type="paragraph" w:customStyle="1" w:styleId="2">
    <w:name w:val="Знак2"/>
    <w:basedOn w:val="Normal"/>
    <w:rsid w:val="007E360C"/>
    <w:pPr>
      <w:tabs>
        <w:tab w:val="left" w:pos="709"/>
      </w:tabs>
    </w:pPr>
    <w:rPr>
      <w:rFonts w:ascii="Tahoma" w:hAnsi="Tahoma"/>
      <w:szCs w:val="24"/>
      <w:lang w:val="pl-PL"/>
    </w:rPr>
  </w:style>
  <w:style w:type="paragraph" w:customStyle="1" w:styleId="CharCharCharCharCharCharCharCharChar1CharCharCharCharCharChar2">
    <w:name w:val="Char Char Char Знак Char Char Знак Char Char Знак Char Char1 Знак Char Char Знак Char Char Знак Char Char Знак2"/>
    <w:basedOn w:val="Normal"/>
    <w:semiHidden/>
    <w:rsid w:val="007E360C"/>
    <w:pPr>
      <w:tabs>
        <w:tab w:val="left" w:pos="709"/>
      </w:tabs>
    </w:pPr>
    <w:rPr>
      <w:rFonts w:ascii="Futura Bk" w:hAnsi="Futura Bk"/>
      <w:szCs w:val="24"/>
      <w:lang w:val="pl-PL"/>
    </w:rPr>
  </w:style>
  <w:style w:type="paragraph" w:customStyle="1" w:styleId="CharCharCharCharCharCharChar20">
    <w:name w:val="Знак Char Char Знак Char Char Char Char Char Знак2"/>
    <w:basedOn w:val="Normal"/>
    <w:rsid w:val="007E360C"/>
    <w:pPr>
      <w:spacing w:after="160" w:line="240" w:lineRule="exact"/>
    </w:pPr>
    <w:rPr>
      <w:rFonts w:ascii="Tahoma" w:hAnsi="Tahoma"/>
      <w:lang w:val="en-US" w:eastAsia="en-US"/>
    </w:rPr>
  </w:style>
  <w:style w:type="character" w:customStyle="1" w:styleId="CharChar32">
    <w:name w:val="Char Char32"/>
    <w:rsid w:val="007E360C"/>
    <w:rPr>
      <w:sz w:val="24"/>
      <w:lang w:val="bg-BG" w:eastAsia="pl-PL"/>
    </w:rPr>
  </w:style>
  <w:style w:type="character" w:customStyle="1" w:styleId="CharChar22">
    <w:name w:val="Char Char22"/>
    <w:rsid w:val="007E360C"/>
    <w:rPr>
      <w:i/>
      <w:sz w:val="24"/>
      <w:u w:val="single"/>
      <w:lang w:val="bg-BG" w:eastAsia="pl-PL"/>
    </w:rPr>
  </w:style>
  <w:style w:type="paragraph" w:styleId="Revision">
    <w:name w:val="Revision"/>
    <w:hidden/>
    <w:uiPriority w:val="99"/>
    <w:semiHidden/>
    <w:rsid w:val="007E360C"/>
    <w:pPr>
      <w:spacing w:after="0" w:line="240" w:lineRule="auto"/>
      <w:jc w:val="center"/>
    </w:pPr>
    <w:rPr>
      <w:rFonts w:ascii="Times New Roman" w:eastAsia="Times New Roman" w:hAnsi="Times New Roman" w:cs="Times New Roman"/>
      <w:sz w:val="20"/>
      <w:szCs w:val="20"/>
      <w:lang w:eastAsia="pl-PL"/>
    </w:rPr>
  </w:style>
  <w:style w:type="paragraph" w:customStyle="1" w:styleId="suk3-1">
    <w:name w:val="suk 3-1"/>
    <w:basedOn w:val="Heading3"/>
    <w:autoRedefine/>
    <w:rsid w:val="007E360C"/>
    <w:pPr>
      <w:numPr>
        <w:ilvl w:val="1"/>
        <w:numId w:val="22"/>
      </w:numPr>
      <w:pBdr>
        <w:top w:val="single" w:sz="4" w:space="1" w:color="auto"/>
        <w:left w:val="single" w:sz="4" w:space="4" w:color="auto"/>
        <w:bottom w:val="single" w:sz="4" w:space="1" w:color="auto"/>
        <w:right w:val="single" w:sz="4" w:space="0" w:color="auto"/>
      </w:pBdr>
      <w:shd w:val="clear" w:color="auto" w:fill="EEECE1"/>
      <w:tabs>
        <w:tab w:val="num" w:pos="360"/>
      </w:tabs>
      <w:spacing w:before="120" w:after="120" w:line="276" w:lineRule="auto"/>
      <w:ind w:left="0" w:firstLine="851"/>
    </w:pPr>
    <w:rPr>
      <w:rFonts w:ascii="Times New Roman" w:hAnsi="Times New Roman"/>
      <w:bCs w:val="0"/>
      <w:color w:val="auto"/>
      <w:szCs w:val="24"/>
      <w:lang w:eastAsia="en-US"/>
    </w:rPr>
  </w:style>
  <w:style w:type="paragraph" w:customStyle="1" w:styleId="SUK3">
    <w:name w:val="SUK 3"/>
    <w:basedOn w:val="PMHeading3"/>
    <w:link w:val="SUK3Char"/>
    <w:rsid w:val="007E360C"/>
    <w:pPr>
      <w:numPr>
        <w:ilvl w:val="2"/>
        <w:numId w:val="22"/>
      </w:numPr>
      <w:tabs>
        <w:tab w:val="num" w:pos="2160"/>
      </w:tabs>
      <w:ind w:left="433" w:hanging="360"/>
      <w:jc w:val="left"/>
    </w:pPr>
  </w:style>
  <w:style w:type="character" w:customStyle="1" w:styleId="SUK3Char">
    <w:name w:val="SUK 3 Char"/>
    <w:link w:val="SUK3"/>
    <w:locked/>
    <w:rsid w:val="007E360C"/>
    <w:rPr>
      <w:rFonts w:ascii="Times New Roman Bold" w:eastAsia="Times New Roman" w:hAnsi="Times New Roman Bold" w:cs="Times New Roman"/>
      <w:b/>
      <w:color w:val="000000"/>
      <w:spacing w:val="10"/>
      <w:sz w:val="24"/>
      <w:szCs w:val="24"/>
      <w:shd w:val="clear" w:color="auto" w:fill="FFFFFF"/>
      <w:lang w:eastAsia="pl-PL"/>
    </w:rPr>
  </w:style>
  <w:style w:type="paragraph" w:customStyle="1" w:styleId="CharCharChar1">
    <w:name w:val="Char Char Char1"/>
    <w:basedOn w:val="Normal"/>
    <w:rsid w:val="007E360C"/>
    <w:pPr>
      <w:tabs>
        <w:tab w:val="left" w:pos="709"/>
      </w:tabs>
      <w:jc w:val="left"/>
    </w:pPr>
    <w:rPr>
      <w:rFonts w:ascii="Tahoma" w:hAnsi="Tahoma"/>
      <w:szCs w:val="24"/>
    </w:rPr>
  </w:style>
  <w:style w:type="paragraph" w:customStyle="1" w:styleId="CharCharCharCharCharCharCharCharCharCharCharCharCharCharCharCharCharCharCharCharChar1CharCharCharCharCharCharCharCharCharCharCharChar1CharCharChar1CharCharCharCharCharChar1">
    <w:name w:val="Char Char Char Char Char Char Char Char Char Char Char Char Char Char Char Char Char Char Char Char Char1 Char Char Char Char Char Char Char Char Char Char Char Char1 Char Char Char1 Char Char Char Char Char Char1"/>
    <w:basedOn w:val="Normal"/>
    <w:rsid w:val="007E360C"/>
    <w:pPr>
      <w:tabs>
        <w:tab w:val="left" w:pos="709"/>
      </w:tabs>
      <w:spacing w:line="360" w:lineRule="auto"/>
      <w:jc w:val="left"/>
    </w:pPr>
    <w:rPr>
      <w:rFonts w:ascii="Tahoma" w:hAnsi="Tahoma"/>
      <w:szCs w:val="24"/>
    </w:rPr>
  </w:style>
  <w:style w:type="table" w:customStyle="1" w:styleId="TableGrid3">
    <w:name w:val="Table Grid3"/>
    <w:basedOn w:val="TableNormal"/>
    <w:next w:val="TableGrid"/>
    <w:rsid w:val="007E360C"/>
    <w:pPr>
      <w:spacing w:before="120" w:after="0" w:line="240" w:lineRule="auto"/>
      <w:jc w:val="both"/>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
    <w:name w:val="Char Char1"/>
    <w:rsid w:val="007E360C"/>
    <w:rPr>
      <w:b/>
      <w:color w:val="FF0000"/>
      <w:sz w:val="24"/>
      <w:lang w:val="en-US" w:eastAsia="bg-BG"/>
    </w:rPr>
  </w:style>
  <w:style w:type="paragraph" w:customStyle="1" w:styleId="Char1">
    <w:name w:val="Char1"/>
    <w:basedOn w:val="Normal"/>
    <w:rsid w:val="007E360C"/>
    <w:pPr>
      <w:spacing w:after="160" w:line="240" w:lineRule="exact"/>
      <w:jc w:val="left"/>
    </w:pPr>
    <w:rPr>
      <w:rFonts w:ascii="Tahoma" w:hAnsi="Tahoma"/>
      <w:lang w:val="en-US" w:eastAsia="en-US"/>
    </w:rPr>
  </w:style>
  <w:style w:type="table" w:customStyle="1" w:styleId="TableWeb12">
    <w:name w:val="Table Web 12"/>
    <w:basedOn w:val="TableNormal"/>
    <w:next w:val="TableWeb1"/>
    <w:rsid w:val="007E360C"/>
    <w:pPr>
      <w:spacing w:after="0" w:line="240" w:lineRule="auto"/>
    </w:pPr>
    <w:rPr>
      <w:rFonts w:ascii="Times New Roman" w:eastAsia="Times New Roman" w:hAnsi="Times New Roman" w:cs="Times New Roman"/>
      <w:sz w:val="20"/>
      <w:szCs w:val="20"/>
      <w:lang w:eastAsia="bg-BG"/>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32">
    <w:name w:val="Table Web 32"/>
    <w:basedOn w:val="TableNormal"/>
    <w:next w:val="TableWeb3"/>
    <w:rsid w:val="007E360C"/>
    <w:pPr>
      <w:spacing w:after="0" w:line="240" w:lineRule="auto"/>
    </w:pPr>
    <w:rPr>
      <w:rFonts w:ascii="Times New Roman" w:eastAsia="Times New Roman" w:hAnsi="Times New Roman" w:cs="Times New Roman"/>
      <w:sz w:val="20"/>
      <w:szCs w:val="20"/>
      <w:lang w:eastAsia="bg-BG"/>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List72">
    <w:name w:val="Table List 72"/>
    <w:basedOn w:val="TableNormal"/>
    <w:next w:val="TableList7"/>
    <w:rsid w:val="007E360C"/>
    <w:pPr>
      <w:spacing w:after="0" w:line="240" w:lineRule="auto"/>
    </w:pPr>
    <w:rPr>
      <w:rFonts w:ascii="Times New Roman" w:eastAsia="Times New Roman" w:hAnsi="Times New Roman" w:cs="Times New Roman"/>
      <w:sz w:val="20"/>
      <w:szCs w:val="20"/>
      <w:lang w:eastAsia="bg-BG"/>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TableElegant2">
    <w:name w:val="Table Elegant2"/>
    <w:basedOn w:val="TableNormal"/>
    <w:next w:val="TableElegant"/>
    <w:rsid w:val="007E360C"/>
    <w:pPr>
      <w:spacing w:after="0" w:line="240" w:lineRule="auto"/>
    </w:pPr>
    <w:rPr>
      <w:rFonts w:ascii="Times New Roman" w:eastAsia="Times New Roman" w:hAnsi="Times New Roman" w:cs="Times New Roman"/>
      <w:sz w:val="20"/>
      <w:szCs w:val="20"/>
      <w:lang w:eastAsia="bg-BG"/>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leGrid13">
    <w:name w:val="Table Grid13"/>
    <w:basedOn w:val="TableNormal"/>
    <w:next w:val="TableGrid"/>
    <w:rsid w:val="007E360C"/>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1">
    <w:name w:val="Char Char Char Char Char Char1"/>
    <w:basedOn w:val="Normal"/>
    <w:rsid w:val="007E360C"/>
    <w:pPr>
      <w:tabs>
        <w:tab w:val="left" w:pos="709"/>
      </w:tabs>
      <w:jc w:val="left"/>
    </w:pPr>
    <w:rPr>
      <w:rFonts w:ascii="Tahoma" w:hAnsi="Tahoma"/>
      <w:szCs w:val="24"/>
    </w:rPr>
  </w:style>
  <w:style w:type="paragraph" w:customStyle="1" w:styleId="CharChar5CharCharCharCharCharCharCharCharCharChar1CharCharCharCharCharChar1Char1">
    <w:name w:val="Char Char5 Знак Char Char Знак Char Char Знак Char Char Знак Char Char Знак Char Char1 Знак Char Char Знак Char Char Знак Char Char1 Char1"/>
    <w:basedOn w:val="Normal"/>
    <w:semiHidden/>
    <w:rsid w:val="007E360C"/>
    <w:pPr>
      <w:tabs>
        <w:tab w:val="left" w:pos="709"/>
      </w:tabs>
      <w:jc w:val="left"/>
    </w:pPr>
    <w:rPr>
      <w:rFonts w:ascii="Futura Bk" w:hAnsi="Futura Bk"/>
      <w:szCs w:val="24"/>
    </w:rPr>
  </w:style>
  <w:style w:type="paragraph" w:customStyle="1" w:styleId="CharCharCharChar1Char1">
    <w:name w:val="Char Char Char Char1 Char1"/>
    <w:basedOn w:val="Normal"/>
    <w:rsid w:val="007E360C"/>
    <w:pPr>
      <w:tabs>
        <w:tab w:val="left" w:pos="709"/>
      </w:tabs>
      <w:jc w:val="left"/>
    </w:pPr>
    <w:rPr>
      <w:rFonts w:ascii="Tahoma" w:hAnsi="Tahoma"/>
      <w:szCs w:val="24"/>
    </w:rPr>
  </w:style>
  <w:style w:type="paragraph" w:customStyle="1" w:styleId="CharCharCharCharCharChar1CharCharChar1CharCharCharChar1">
    <w:name w:val="Char Char Char Char Char Char1 Char Char Char1 Char Char Char Char1"/>
    <w:basedOn w:val="Normal"/>
    <w:rsid w:val="007E360C"/>
    <w:pPr>
      <w:tabs>
        <w:tab w:val="left" w:pos="709"/>
      </w:tabs>
      <w:jc w:val="left"/>
    </w:pPr>
    <w:rPr>
      <w:rFonts w:ascii="Tahoma" w:hAnsi="Tahoma"/>
      <w:szCs w:val="24"/>
    </w:rPr>
  </w:style>
  <w:style w:type="paragraph" w:customStyle="1" w:styleId="CharChar1Char1">
    <w:name w:val="Char Char1 Char1"/>
    <w:basedOn w:val="Normal"/>
    <w:rsid w:val="007E360C"/>
    <w:pPr>
      <w:tabs>
        <w:tab w:val="left" w:pos="709"/>
      </w:tabs>
      <w:jc w:val="left"/>
    </w:pPr>
    <w:rPr>
      <w:rFonts w:ascii="Tahoma" w:hAnsi="Tahoma"/>
      <w:szCs w:val="24"/>
    </w:rPr>
  </w:style>
  <w:style w:type="paragraph" w:customStyle="1" w:styleId="CharCharChar1CharCharChar1">
    <w:name w:val="Char Char Char1 Char Char Char1"/>
    <w:basedOn w:val="Normal"/>
    <w:rsid w:val="007E360C"/>
    <w:pPr>
      <w:spacing w:after="160" w:line="240" w:lineRule="exact"/>
      <w:jc w:val="left"/>
    </w:pPr>
    <w:rPr>
      <w:rFonts w:ascii="Tahoma" w:hAnsi="Tahoma"/>
      <w:lang w:val="en-US" w:eastAsia="en-US"/>
    </w:rPr>
  </w:style>
  <w:style w:type="paragraph" w:customStyle="1" w:styleId="CharCharCharChar1CharCharCharCharChar1">
    <w:name w:val="Знак Char Char Знак Char Char1 Знак Char Char Char Char Char1"/>
    <w:basedOn w:val="Normal"/>
    <w:rsid w:val="007E360C"/>
    <w:pPr>
      <w:spacing w:after="160" w:line="240" w:lineRule="exact"/>
      <w:jc w:val="left"/>
    </w:pPr>
    <w:rPr>
      <w:rFonts w:ascii="Tahoma" w:hAnsi="Tahoma"/>
      <w:lang w:val="en-US" w:eastAsia="en-US"/>
    </w:rPr>
  </w:style>
  <w:style w:type="paragraph" w:customStyle="1" w:styleId="CharChar4Char1">
    <w:name w:val="Char Char4 Char1"/>
    <w:basedOn w:val="Normal"/>
    <w:rsid w:val="007E360C"/>
    <w:pPr>
      <w:spacing w:after="160" w:line="240" w:lineRule="exact"/>
      <w:jc w:val="left"/>
    </w:pPr>
    <w:rPr>
      <w:rFonts w:ascii="Tahoma" w:hAnsi="Tahoma"/>
      <w:lang w:val="en-US" w:eastAsia="en-US"/>
    </w:rPr>
  </w:style>
  <w:style w:type="character" w:customStyle="1" w:styleId="CharChar101">
    <w:name w:val="Char Char101"/>
    <w:rsid w:val="007E360C"/>
    <w:rPr>
      <w:rFonts w:ascii="Verdana" w:eastAsia="Arial Unicode MS" w:hAnsi="Verdana"/>
      <w:color w:val="000000"/>
      <w:sz w:val="18"/>
      <w:lang w:val="pl-PL" w:eastAsia="pl-PL"/>
    </w:rPr>
  </w:style>
  <w:style w:type="paragraph" w:customStyle="1" w:styleId="CharCharCharCharCharCharChar1">
    <w:name w:val="Char Char Знак Знак Char Знак Знак Char Char Char Знак Знак Char1"/>
    <w:basedOn w:val="Normal"/>
    <w:rsid w:val="007E360C"/>
    <w:pPr>
      <w:tabs>
        <w:tab w:val="left" w:pos="709"/>
      </w:tabs>
      <w:jc w:val="left"/>
    </w:pPr>
    <w:rPr>
      <w:rFonts w:ascii="Tahoma" w:hAnsi="Tahoma"/>
      <w:szCs w:val="24"/>
    </w:rPr>
  </w:style>
  <w:style w:type="paragraph" w:customStyle="1" w:styleId="10">
    <w:name w:val="Знак1"/>
    <w:basedOn w:val="Normal"/>
    <w:rsid w:val="007E360C"/>
    <w:pPr>
      <w:tabs>
        <w:tab w:val="left" w:pos="709"/>
      </w:tabs>
      <w:jc w:val="left"/>
    </w:pPr>
    <w:rPr>
      <w:rFonts w:ascii="Tahoma" w:hAnsi="Tahoma"/>
      <w:szCs w:val="24"/>
      <w:lang w:val="pl-PL"/>
    </w:rPr>
  </w:style>
  <w:style w:type="paragraph" w:customStyle="1" w:styleId="CharCharCharCharCharCharCharCharChar1CharCharCharCharCharChar1">
    <w:name w:val="Char Char Char Знак Char Char Знак Char Char Знак Char Char1 Знак Char Char Знак Char Char Знак Char Char Знак1"/>
    <w:basedOn w:val="Normal"/>
    <w:semiHidden/>
    <w:rsid w:val="007E360C"/>
    <w:pPr>
      <w:tabs>
        <w:tab w:val="left" w:pos="709"/>
      </w:tabs>
      <w:jc w:val="left"/>
    </w:pPr>
    <w:rPr>
      <w:rFonts w:ascii="Futura Bk" w:hAnsi="Futura Bk"/>
      <w:szCs w:val="24"/>
      <w:lang w:val="pl-PL"/>
    </w:rPr>
  </w:style>
  <w:style w:type="paragraph" w:customStyle="1" w:styleId="CharCharCharCharCharCharChar10">
    <w:name w:val="Знак Char Char Знак Char Char Char Char Char Знак1"/>
    <w:basedOn w:val="Normal"/>
    <w:rsid w:val="007E360C"/>
    <w:pPr>
      <w:spacing w:after="160" w:line="240" w:lineRule="exact"/>
      <w:jc w:val="left"/>
    </w:pPr>
    <w:rPr>
      <w:rFonts w:ascii="Tahoma" w:hAnsi="Tahoma"/>
      <w:lang w:val="en-US" w:eastAsia="en-US"/>
    </w:rPr>
  </w:style>
  <w:style w:type="character" w:customStyle="1" w:styleId="CharChar31">
    <w:name w:val="Char Char31"/>
    <w:rsid w:val="007E360C"/>
    <w:rPr>
      <w:sz w:val="24"/>
      <w:lang w:val="bg-BG" w:eastAsia="pl-PL"/>
    </w:rPr>
  </w:style>
  <w:style w:type="character" w:customStyle="1" w:styleId="CharChar21">
    <w:name w:val="Char Char21"/>
    <w:rsid w:val="007E360C"/>
    <w:rPr>
      <w:i/>
      <w:sz w:val="24"/>
      <w:u w:val="single"/>
      <w:lang w:val="bg-BG" w:eastAsia="pl-PL"/>
    </w:rPr>
  </w:style>
  <w:style w:type="table" w:customStyle="1" w:styleId="PlainTable31">
    <w:name w:val="Plain Table 31"/>
    <w:basedOn w:val="TableNormal"/>
    <w:uiPriority w:val="43"/>
    <w:rsid w:val="007E360C"/>
    <w:pPr>
      <w:spacing w:after="0" w:line="240" w:lineRule="auto"/>
    </w:pPr>
    <w:rPr>
      <w:rFonts w:ascii="Times New Roman" w:eastAsia="Times New Roman" w:hAnsi="Times New Roman" w:cs="Times New Roman"/>
      <w:lang w:val="en-US"/>
    </w:rPr>
    <w:tblPr>
      <w:tblStyleRowBandSize w:val="1"/>
      <w:tblStyleColBandSize w:val="1"/>
    </w:tblPr>
    <w:tblStylePr w:type="firstRow">
      <w:rPr>
        <w:rFonts w:cs="Times New Roman"/>
        <w:b/>
        <w:bCs/>
        <w:caps/>
      </w:rPr>
      <w:tblPr/>
      <w:tcPr>
        <w:tcBorders>
          <w:bottom w:val="single" w:sz="4" w:space="0" w:color="7F7F7F"/>
        </w:tcBorders>
      </w:tcPr>
    </w:tblStylePr>
    <w:tblStylePr w:type="lastRow">
      <w:rPr>
        <w:rFonts w:cs="Times New Roman"/>
        <w:b/>
        <w:bCs/>
        <w:caps/>
      </w:rPr>
      <w:tblPr/>
      <w:tcPr>
        <w:tcBorders>
          <w:top w:val="nil"/>
        </w:tcBorders>
      </w:tcPr>
    </w:tblStylePr>
    <w:tblStylePr w:type="firstCol">
      <w:rPr>
        <w:rFonts w:cs="Times New Roman"/>
        <w:b/>
        <w:bCs/>
        <w:caps/>
      </w:rPr>
      <w:tblPr/>
      <w:tcPr>
        <w:tcBorders>
          <w:right w:val="single" w:sz="4" w:space="0" w:color="7F7F7F"/>
        </w:tcBorders>
      </w:tcPr>
    </w:tblStylePr>
    <w:tblStylePr w:type="lastCol">
      <w:rPr>
        <w:rFonts w:cs="Times New Roman"/>
        <w:b/>
        <w:bCs/>
        <w:caps/>
      </w:rPr>
      <w:tblPr/>
      <w:tcPr>
        <w:tcBorders>
          <w:left w:val="nil"/>
        </w:tcBorders>
      </w:tcPr>
    </w:tblStylePr>
    <w:tblStylePr w:type="band1Vert">
      <w:rPr>
        <w:rFonts w:cs="Times New Roman"/>
      </w:rPr>
      <w:tblPr/>
      <w:tcPr>
        <w:shd w:val="clear" w:color="auto" w:fill="F2F2F2"/>
      </w:tcPr>
    </w:tblStylePr>
    <w:tblStylePr w:type="band1Horz">
      <w:rPr>
        <w:rFonts w:cs="Times New Roman"/>
      </w:rPr>
      <w:tblPr/>
      <w:tcPr>
        <w:shd w:val="clear" w:color="auto" w:fill="F2F2F2"/>
      </w:tcPr>
    </w:tblStylePr>
    <w:tblStylePr w:type="neCell">
      <w:rPr>
        <w:rFonts w:cs="Times New Roman"/>
      </w:rPr>
      <w:tblPr/>
      <w:tcPr>
        <w:tcBorders>
          <w:left w:val="nil"/>
        </w:tcBorders>
      </w:tcPr>
    </w:tblStylePr>
    <w:tblStylePr w:type="nwCell">
      <w:rPr>
        <w:rFonts w:cs="Times New Roman"/>
      </w:rPr>
      <w:tblPr/>
      <w:tcPr>
        <w:tcBorders>
          <w:right w:val="nil"/>
        </w:tcBorders>
      </w:tcPr>
    </w:tblStylePr>
  </w:style>
  <w:style w:type="numbering" w:customStyle="1" w:styleId="11111111">
    <w:name w:val="1 / 1.1 / 1.1.111"/>
    <w:rsid w:val="007E360C"/>
    <w:pPr>
      <w:numPr>
        <w:numId w:val="1"/>
      </w:numPr>
    </w:pPr>
  </w:style>
  <w:style w:type="numbering" w:customStyle="1" w:styleId="1111112">
    <w:name w:val="1 / 1.1 / 1.1.12"/>
    <w:rsid w:val="007E360C"/>
    <w:pPr>
      <w:numPr>
        <w:numId w:val="17"/>
      </w:numPr>
    </w:pPr>
  </w:style>
  <w:style w:type="numbering" w:styleId="111111">
    <w:name w:val="Outline List 2"/>
    <w:basedOn w:val="NoList"/>
    <w:uiPriority w:val="99"/>
    <w:semiHidden/>
    <w:unhideWhenUsed/>
    <w:rsid w:val="007E360C"/>
    <w:pPr>
      <w:numPr>
        <w:numId w:val="7"/>
      </w:numPr>
    </w:pPr>
  </w:style>
  <w:style w:type="numbering" w:customStyle="1" w:styleId="1111111">
    <w:name w:val="1 / 1.1 / 1.1.11"/>
    <w:rsid w:val="007E360C"/>
    <w:pPr>
      <w:numPr>
        <w:numId w:val="104"/>
      </w:numPr>
    </w:pPr>
  </w:style>
  <w:style w:type="paragraph" w:customStyle="1" w:styleId="SUK2">
    <w:name w:val="SUK 2"/>
    <w:basedOn w:val="Normal"/>
    <w:rsid w:val="007E360C"/>
    <w:pPr>
      <w:keepNext/>
      <w:keepLines/>
      <w:numPr>
        <w:ilvl w:val="1"/>
        <w:numId w:val="28"/>
      </w:numPr>
      <w:pBdr>
        <w:top w:val="single" w:sz="4" w:space="1" w:color="auto"/>
        <w:left w:val="single" w:sz="4" w:space="15" w:color="auto"/>
        <w:bottom w:val="single" w:sz="4" w:space="1" w:color="auto"/>
        <w:right w:val="single" w:sz="4" w:space="0" w:color="auto"/>
      </w:pBdr>
      <w:shd w:val="clear" w:color="auto" w:fill="DBE5F1"/>
      <w:spacing w:before="240" w:after="240"/>
      <w:jc w:val="left"/>
      <w:outlineLvl w:val="0"/>
    </w:pPr>
    <w:rPr>
      <w:rFonts w:ascii="Times New Roman Bold" w:eastAsia="EUAlbertina-Regu-Identity-H" w:hAnsi="Times New Roman Bold"/>
      <w:b/>
      <w:bCs/>
      <w:color w:val="000000"/>
      <w:spacing w:val="10"/>
      <w:szCs w:val="24"/>
    </w:rPr>
  </w:style>
  <w:style w:type="table" w:customStyle="1" w:styleId="TableGrid4">
    <w:name w:val="Table Grid4"/>
    <w:basedOn w:val="TableNormal"/>
    <w:next w:val="TableGrid"/>
    <w:uiPriority w:val="39"/>
    <w:rsid w:val="007E360C"/>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7E360C"/>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
    <w:name w:val="1 / 1.1 / 1.1.121"/>
    <w:rsid w:val="007E360C"/>
  </w:style>
  <w:style w:type="paragraph" w:customStyle="1" w:styleId="CharCharChar1CharCharChar6">
    <w:name w:val="Char Char Char1 Char Char Char6"/>
    <w:basedOn w:val="Normal"/>
    <w:rsid w:val="007E360C"/>
    <w:pPr>
      <w:spacing w:after="160" w:line="240" w:lineRule="exact"/>
      <w:jc w:val="left"/>
    </w:pPr>
    <w:rPr>
      <w:rFonts w:ascii="Tahoma" w:hAnsi="Tahoma"/>
      <w:lang w:val="en-US" w:eastAsia="en-US"/>
    </w:rPr>
  </w:style>
  <w:style w:type="paragraph" w:customStyle="1" w:styleId="CharCharChar1CharCharChar5">
    <w:name w:val="Char Char Char1 Char Char Char5"/>
    <w:basedOn w:val="Normal"/>
    <w:rsid w:val="007E360C"/>
    <w:pPr>
      <w:spacing w:after="160" w:line="240" w:lineRule="exact"/>
      <w:jc w:val="left"/>
    </w:pPr>
    <w:rPr>
      <w:rFonts w:ascii="Tahoma" w:hAnsi="Tahoma"/>
      <w:lang w:val="en-US" w:eastAsia="en-US"/>
    </w:rPr>
  </w:style>
  <w:style w:type="character" w:customStyle="1" w:styleId="samedocreference">
    <w:name w:val="samedocreference"/>
    <w:basedOn w:val="DefaultParagraphFont"/>
    <w:rsid w:val="007E360C"/>
  </w:style>
  <w:style w:type="paragraph" w:customStyle="1" w:styleId="CharCharChar1CharCharChar4">
    <w:name w:val="Char Char Char1 Char Char Char4"/>
    <w:basedOn w:val="Normal"/>
    <w:rsid w:val="007E360C"/>
    <w:pPr>
      <w:spacing w:after="160" w:line="240" w:lineRule="exact"/>
      <w:jc w:val="left"/>
    </w:pPr>
    <w:rPr>
      <w:rFonts w:ascii="Tahoma" w:hAnsi="Tahoma"/>
      <w:lang w:val="en-US" w:eastAsia="en-US"/>
    </w:rPr>
  </w:style>
  <w:style w:type="paragraph" w:customStyle="1" w:styleId="buttons">
    <w:name w:val="buttons"/>
    <w:basedOn w:val="Normal"/>
    <w:rsid w:val="007E360C"/>
    <w:pPr>
      <w:spacing w:before="100" w:beforeAutospacing="1" w:after="100" w:afterAutospacing="1"/>
      <w:jc w:val="left"/>
    </w:pPr>
    <w:rPr>
      <w:szCs w:val="24"/>
      <w:lang w:val="en-US" w:eastAsia="en-US"/>
    </w:rPr>
  </w:style>
  <w:style w:type="character" w:customStyle="1" w:styleId="newdocreference">
    <w:name w:val="newdocreference"/>
    <w:basedOn w:val="DefaultParagraphFont"/>
    <w:rsid w:val="007E360C"/>
  </w:style>
  <w:style w:type="paragraph" w:customStyle="1" w:styleId="SUPERSChar">
    <w:name w:val="SUPERS Char"/>
    <w:aliases w:val="EN Footnote Reference Char"/>
    <w:basedOn w:val="Normal"/>
    <w:link w:val="FootnoteReference"/>
    <w:uiPriority w:val="99"/>
    <w:rsid w:val="007E360C"/>
    <w:pPr>
      <w:spacing w:after="160" w:line="240" w:lineRule="exact"/>
      <w:jc w:val="left"/>
    </w:pPr>
    <w:rPr>
      <w:rFonts w:asciiTheme="minorHAnsi" w:eastAsiaTheme="minorHAnsi" w:hAnsiTheme="minorHAnsi" w:cstheme="minorBidi"/>
      <w:sz w:val="22"/>
      <w:szCs w:val="22"/>
      <w:vertAlign w:val="superscript"/>
      <w:lang w:eastAsia="en-US"/>
    </w:rPr>
  </w:style>
  <w:style w:type="character" w:customStyle="1" w:styleId="filled-value">
    <w:name w:val="filled-value"/>
    <w:basedOn w:val="DefaultParagraphFont"/>
    <w:rsid w:val="007E360C"/>
  </w:style>
  <w:style w:type="paragraph" w:customStyle="1" w:styleId="Style1">
    <w:name w:val="Style1"/>
    <w:basedOn w:val="ListParagraph"/>
    <w:link w:val="Style1Char"/>
    <w:qFormat/>
    <w:rsid w:val="007E360C"/>
    <w:pPr>
      <w:numPr>
        <w:numId w:val="32"/>
      </w:numPr>
      <w:pBdr>
        <w:top w:val="single" w:sz="4" w:space="1" w:color="auto"/>
        <w:left w:val="single" w:sz="4" w:space="4" w:color="auto"/>
        <w:bottom w:val="single" w:sz="4" w:space="1" w:color="auto"/>
        <w:right w:val="single" w:sz="4" w:space="4" w:color="auto"/>
      </w:pBdr>
      <w:shd w:val="clear" w:color="auto" w:fill="99CCFF"/>
      <w:spacing w:before="120" w:after="120"/>
      <w:outlineLvl w:val="1"/>
    </w:pPr>
    <w:rPr>
      <w:b/>
      <w:szCs w:val="24"/>
    </w:rPr>
  </w:style>
  <w:style w:type="paragraph" w:customStyle="1" w:styleId="Style2">
    <w:name w:val="Style2"/>
    <w:basedOn w:val="ListParagraph"/>
    <w:link w:val="Style2Char"/>
    <w:qFormat/>
    <w:rsid w:val="007E360C"/>
    <w:pPr>
      <w:numPr>
        <w:ilvl w:val="1"/>
        <w:numId w:val="32"/>
      </w:numPr>
      <w:pBdr>
        <w:top w:val="single" w:sz="4" w:space="1" w:color="auto"/>
        <w:left w:val="single" w:sz="4" w:space="4" w:color="auto"/>
        <w:bottom w:val="single" w:sz="4" w:space="1" w:color="auto"/>
        <w:right w:val="single" w:sz="4" w:space="4" w:color="auto"/>
      </w:pBdr>
      <w:shd w:val="clear" w:color="auto" w:fill="DBE5F1"/>
      <w:spacing w:before="120" w:after="120"/>
      <w:outlineLvl w:val="2"/>
    </w:pPr>
    <w:rPr>
      <w:b/>
      <w:szCs w:val="24"/>
      <w:lang w:val="en-US"/>
    </w:rPr>
  </w:style>
  <w:style w:type="character" w:customStyle="1" w:styleId="Style1Char">
    <w:name w:val="Style1 Char"/>
    <w:basedOn w:val="ListParagraphChar"/>
    <w:link w:val="Style1"/>
    <w:rsid w:val="007E360C"/>
    <w:rPr>
      <w:rFonts w:ascii="Times New Roman" w:eastAsia="Times New Roman" w:hAnsi="Times New Roman" w:cs="Times New Roman"/>
      <w:b/>
      <w:sz w:val="24"/>
      <w:szCs w:val="24"/>
      <w:shd w:val="clear" w:color="auto" w:fill="99CCFF"/>
      <w:lang w:eastAsia="pl-PL"/>
    </w:rPr>
  </w:style>
  <w:style w:type="paragraph" w:customStyle="1" w:styleId="Style3">
    <w:name w:val="Style3"/>
    <w:basedOn w:val="ListParagraph"/>
    <w:link w:val="Style3Char"/>
    <w:qFormat/>
    <w:rsid w:val="007E360C"/>
    <w:pPr>
      <w:numPr>
        <w:ilvl w:val="2"/>
        <w:numId w:val="32"/>
      </w:numPr>
      <w:spacing w:before="120" w:after="120"/>
      <w:outlineLvl w:val="3"/>
    </w:pPr>
    <w:rPr>
      <w:b/>
      <w:szCs w:val="24"/>
      <w:lang w:val="en-US"/>
    </w:rPr>
  </w:style>
  <w:style w:type="character" w:customStyle="1" w:styleId="Style2Char">
    <w:name w:val="Style2 Char"/>
    <w:basedOn w:val="ListParagraphChar"/>
    <w:link w:val="Style2"/>
    <w:rsid w:val="007E360C"/>
    <w:rPr>
      <w:rFonts w:ascii="Times New Roman" w:eastAsia="Times New Roman" w:hAnsi="Times New Roman" w:cs="Times New Roman"/>
      <w:b/>
      <w:sz w:val="24"/>
      <w:szCs w:val="24"/>
      <w:shd w:val="clear" w:color="auto" w:fill="DBE5F1"/>
      <w:lang w:val="en-US" w:eastAsia="pl-PL"/>
    </w:rPr>
  </w:style>
  <w:style w:type="paragraph" w:customStyle="1" w:styleId="Style4">
    <w:name w:val="Style4"/>
    <w:basedOn w:val="ListParagraph"/>
    <w:link w:val="Style4Char"/>
    <w:qFormat/>
    <w:rsid w:val="007E360C"/>
    <w:pPr>
      <w:numPr>
        <w:ilvl w:val="3"/>
        <w:numId w:val="32"/>
      </w:numPr>
      <w:spacing w:before="120" w:after="120"/>
      <w:outlineLvl w:val="4"/>
    </w:pPr>
    <w:rPr>
      <w:b/>
      <w:szCs w:val="24"/>
      <w:lang w:val="en-US"/>
    </w:rPr>
  </w:style>
  <w:style w:type="character" w:customStyle="1" w:styleId="Style3Char">
    <w:name w:val="Style3 Char"/>
    <w:basedOn w:val="ListParagraphChar"/>
    <w:link w:val="Style3"/>
    <w:rsid w:val="007E360C"/>
    <w:rPr>
      <w:rFonts w:ascii="Times New Roman" w:eastAsia="Times New Roman" w:hAnsi="Times New Roman" w:cs="Times New Roman"/>
      <w:b/>
      <w:sz w:val="24"/>
      <w:szCs w:val="24"/>
      <w:lang w:val="en-US" w:eastAsia="pl-PL"/>
    </w:rPr>
  </w:style>
  <w:style w:type="character" w:customStyle="1" w:styleId="Style4Char">
    <w:name w:val="Style4 Char"/>
    <w:basedOn w:val="ListParagraphChar"/>
    <w:link w:val="Style4"/>
    <w:rsid w:val="007E360C"/>
    <w:rPr>
      <w:rFonts w:ascii="Times New Roman" w:eastAsia="Times New Roman" w:hAnsi="Times New Roman" w:cs="Times New Roman"/>
      <w:b/>
      <w:sz w:val="24"/>
      <w:szCs w:val="24"/>
      <w:lang w:val="en-US" w:eastAsia="pl-PL"/>
    </w:rPr>
  </w:style>
  <w:style w:type="character" w:customStyle="1" w:styleId="UnresolvedMention1">
    <w:name w:val="Unresolved Mention1"/>
    <w:basedOn w:val="DefaultParagraphFont"/>
    <w:uiPriority w:val="99"/>
    <w:semiHidden/>
    <w:unhideWhenUsed/>
    <w:rsid w:val="007E360C"/>
    <w:rPr>
      <w:color w:val="605E5C"/>
      <w:shd w:val="clear" w:color="auto" w:fill="E1DFDD"/>
    </w:rPr>
  </w:style>
  <w:style w:type="character" w:customStyle="1" w:styleId="UnresolvedMention2">
    <w:name w:val="Unresolved Mention2"/>
    <w:basedOn w:val="DefaultParagraphFont"/>
    <w:uiPriority w:val="99"/>
    <w:semiHidden/>
    <w:unhideWhenUsed/>
    <w:rsid w:val="007E360C"/>
    <w:rPr>
      <w:color w:val="605E5C"/>
      <w:shd w:val="clear" w:color="auto" w:fill="E1DFDD"/>
    </w:rPr>
  </w:style>
  <w:style w:type="numbering" w:customStyle="1" w:styleId="NoList1">
    <w:name w:val="No List1"/>
    <w:next w:val="NoList"/>
    <w:uiPriority w:val="99"/>
    <w:semiHidden/>
    <w:unhideWhenUsed/>
    <w:rsid w:val="007E360C"/>
  </w:style>
  <w:style w:type="table" w:customStyle="1" w:styleId="TableGrid6">
    <w:name w:val="Table Grid6"/>
    <w:basedOn w:val="TableNormal"/>
    <w:next w:val="TableGrid"/>
    <w:uiPriority w:val="39"/>
    <w:rsid w:val="007E360C"/>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7E360C"/>
    <w:pPr>
      <w:spacing w:before="120" w:after="0" w:line="240" w:lineRule="auto"/>
      <w:jc w:val="both"/>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3">
    <w:name w:val="Table Web 13"/>
    <w:basedOn w:val="TableNormal"/>
    <w:next w:val="TableWeb1"/>
    <w:uiPriority w:val="99"/>
    <w:rsid w:val="007E360C"/>
    <w:pPr>
      <w:spacing w:after="0" w:line="240" w:lineRule="auto"/>
    </w:pPr>
    <w:rPr>
      <w:rFonts w:ascii="Times New Roman" w:eastAsia="Times New Roman" w:hAnsi="Times New Roman" w:cs="Times New Roman"/>
      <w:sz w:val="20"/>
      <w:szCs w:val="20"/>
      <w:lang w:eastAsia="bg-BG"/>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33">
    <w:name w:val="Table Web 33"/>
    <w:basedOn w:val="TableNormal"/>
    <w:next w:val="TableWeb3"/>
    <w:uiPriority w:val="99"/>
    <w:rsid w:val="007E360C"/>
    <w:pPr>
      <w:spacing w:after="0" w:line="240" w:lineRule="auto"/>
    </w:pPr>
    <w:rPr>
      <w:rFonts w:ascii="Times New Roman" w:eastAsia="Times New Roman" w:hAnsi="Times New Roman" w:cs="Times New Roman"/>
      <w:sz w:val="20"/>
      <w:szCs w:val="20"/>
      <w:lang w:eastAsia="bg-BG"/>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List73">
    <w:name w:val="Table List 73"/>
    <w:basedOn w:val="TableNormal"/>
    <w:next w:val="TableList7"/>
    <w:uiPriority w:val="99"/>
    <w:rsid w:val="007E360C"/>
    <w:pPr>
      <w:spacing w:after="0" w:line="240" w:lineRule="auto"/>
    </w:pPr>
    <w:rPr>
      <w:rFonts w:ascii="Times New Roman" w:eastAsia="Times New Roman" w:hAnsi="Times New Roman" w:cs="Times New Roman"/>
      <w:sz w:val="20"/>
      <w:szCs w:val="20"/>
      <w:lang w:eastAsia="bg-BG"/>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TableElegant3">
    <w:name w:val="Table Elegant3"/>
    <w:basedOn w:val="TableNormal"/>
    <w:next w:val="TableElegant"/>
    <w:uiPriority w:val="99"/>
    <w:rsid w:val="007E360C"/>
    <w:pPr>
      <w:spacing w:after="0" w:line="240" w:lineRule="auto"/>
    </w:pPr>
    <w:rPr>
      <w:rFonts w:ascii="Times New Roman" w:eastAsia="Times New Roman" w:hAnsi="Times New Roman" w:cs="Times New Roman"/>
      <w:sz w:val="20"/>
      <w:szCs w:val="20"/>
      <w:lang w:eastAsia="bg-BG"/>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leGrid111">
    <w:name w:val="Table Grid111"/>
    <w:basedOn w:val="TableNormal"/>
    <w:next w:val="TableGrid"/>
    <w:rsid w:val="007E360C"/>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E360C"/>
    <w:pPr>
      <w:spacing w:before="120" w:after="0" w:line="240" w:lineRule="auto"/>
      <w:jc w:val="both"/>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1">
    <w:name w:val="Table Web 111"/>
    <w:basedOn w:val="TableNormal"/>
    <w:next w:val="TableWeb1"/>
    <w:rsid w:val="007E360C"/>
    <w:pPr>
      <w:spacing w:after="0" w:line="240" w:lineRule="auto"/>
    </w:pPr>
    <w:rPr>
      <w:rFonts w:ascii="Times New Roman" w:eastAsia="Times New Roman" w:hAnsi="Times New Roman" w:cs="Times New Roman"/>
      <w:sz w:val="20"/>
      <w:szCs w:val="20"/>
      <w:lang w:eastAsia="bg-BG"/>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311">
    <w:name w:val="Table Web 311"/>
    <w:basedOn w:val="TableNormal"/>
    <w:next w:val="TableWeb3"/>
    <w:rsid w:val="007E360C"/>
    <w:pPr>
      <w:spacing w:after="0" w:line="240" w:lineRule="auto"/>
    </w:pPr>
    <w:rPr>
      <w:rFonts w:ascii="Times New Roman" w:eastAsia="Times New Roman" w:hAnsi="Times New Roman" w:cs="Times New Roman"/>
      <w:sz w:val="20"/>
      <w:szCs w:val="20"/>
      <w:lang w:eastAsia="bg-BG"/>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List711">
    <w:name w:val="Table List 711"/>
    <w:basedOn w:val="TableNormal"/>
    <w:next w:val="TableList7"/>
    <w:rsid w:val="007E360C"/>
    <w:pPr>
      <w:spacing w:after="0" w:line="240" w:lineRule="auto"/>
    </w:pPr>
    <w:rPr>
      <w:rFonts w:ascii="Times New Roman" w:eastAsia="Times New Roman" w:hAnsi="Times New Roman" w:cs="Times New Roman"/>
      <w:sz w:val="20"/>
      <w:szCs w:val="20"/>
      <w:lang w:eastAsia="bg-BG"/>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TableElegant11">
    <w:name w:val="Table Elegant11"/>
    <w:basedOn w:val="TableNormal"/>
    <w:next w:val="TableElegant"/>
    <w:rsid w:val="007E360C"/>
    <w:pPr>
      <w:spacing w:after="0" w:line="240" w:lineRule="auto"/>
    </w:pPr>
    <w:rPr>
      <w:rFonts w:ascii="Times New Roman" w:eastAsia="Times New Roman" w:hAnsi="Times New Roman" w:cs="Times New Roman"/>
      <w:sz w:val="20"/>
      <w:szCs w:val="20"/>
      <w:lang w:eastAsia="bg-BG"/>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leGrid121">
    <w:name w:val="Table Grid121"/>
    <w:basedOn w:val="TableNormal"/>
    <w:next w:val="TableGrid"/>
    <w:rsid w:val="007E360C"/>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E360C"/>
    <w:pPr>
      <w:spacing w:before="120" w:after="0" w:line="240" w:lineRule="auto"/>
      <w:jc w:val="both"/>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21">
    <w:name w:val="Table Web 121"/>
    <w:basedOn w:val="TableNormal"/>
    <w:next w:val="TableWeb1"/>
    <w:rsid w:val="007E360C"/>
    <w:pPr>
      <w:spacing w:after="0" w:line="240" w:lineRule="auto"/>
    </w:pPr>
    <w:rPr>
      <w:rFonts w:ascii="Times New Roman" w:eastAsia="Times New Roman" w:hAnsi="Times New Roman" w:cs="Times New Roman"/>
      <w:sz w:val="20"/>
      <w:szCs w:val="20"/>
      <w:lang w:eastAsia="bg-BG"/>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321">
    <w:name w:val="Table Web 321"/>
    <w:basedOn w:val="TableNormal"/>
    <w:next w:val="TableWeb3"/>
    <w:rsid w:val="007E360C"/>
    <w:pPr>
      <w:spacing w:after="0" w:line="240" w:lineRule="auto"/>
    </w:pPr>
    <w:rPr>
      <w:rFonts w:ascii="Times New Roman" w:eastAsia="Times New Roman" w:hAnsi="Times New Roman" w:cs="Times New Roman"/>
      <w:sz w:val="20"/>
      <w:szCs w:val="20"/>
      <w:lang w:eastAsia="bg-BG"/>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List721">
    <w:name w:val="Table List 721"/>
    <w:basedOn w:val="TableNormal"/>
    <w:next w:val="TableList7"/>
    <w:rsid w:val="007E360C"/>
    <w:pPr>
      <w:spacing w:after="0" w:line="240" w:lineRule="auto"/>
    </w:pPr>
    <w:rPr>
      <w:rFonts w:ascii="Times New Roman" w:eastAsia="Times New Roman" w:hAnsi="Times New Roman" w:cs="Times New Roman"/>
      <w:sz w:val="20"/>
      <w:szCs w:val="20"/>
      <w:lang w:eastAsia="bg-BG"/>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TableElegant21">
    <w:name w:val="Table Elegant21"/>
    <w:basedOn w:val="TableNormal"/>
    <w:next w:val="TableElegant"/>
    <w:rsid w:val="007E360C"/>
    <w:pPr>
      <w:spacing w:after="0" w:line="240" w:lineRule="auto"/>
    </w:pPr>
    <w:rPr>
      <w:rFonts w:ascii="Times New Roman" w:eastAsia="Times New Roman" w:hAnsi="Times New Roman" w:cs="Times New Roman"/>
      <w:sz w:val="20"/>
      <w:szCs w:val="20"/>
      <w:lang w:eastAsia="bg-BG"/>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leGrid131">
    <w:name w:val="Table Grid131"/>
    <w:basedOn w:val="TableNormal"/>
    <w:next w:val="TableGrid"/>
    <w:rsid w:val="007E360C"/>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
    <w:name w:val="Plain Table 311"/>
    <w:basedOn w:val="TableNormal"/>
    <w:uiPriority w:val="43"/>
    <w:rsid w:val="007E360C"/>
    <w:pPr>
      <w:spacing w:after="0" w:line="240" w:lineRule="auto"/>
    </w:pPr>
    <w:rPr>
      <w:rFonts w:ascii="Times New Roman" w:eastAsia="Times New Roman" w:hAnsi="Times New Roman" w:cs="Times New Roman"/>
      <w:lang w:val="en-US"/>
    </w:rPr>
    <w:tblPr>
      <w:tblStyleRowBandSize w:val="1"/>
      <w:tblStyleColBandSize w:val="1"/>
    </w:tblPr>
    <w:tblStylePr w:type="firstRow">
      <w:rPr>
        <w:rFonts w:cs="Times New Roman"/>
        <w:b/>
        <w:bCs/>
        <w:caps/>
      </w:rPr>
      <w:tblPr/>
      <w:tcPr>
        <w:tcBorders>
          <w:bottom w:val="single" w:sz="4" w:space="0" w:color="7F7F7F"/>
        </w:tcBorders>
      </w:tcPr>
    </w:tblStylePr>
    <w:tblStylePr w:type="lastRow">
      <w:rPr>
        <w:rFonts w:cs="Times New Roman"/>
        <w:b/>
        <w:bCs/>
        <w:caps/>
      </w:rPr>
      <w:tblPr/>
      <w:tcPr>
        <w:tcBorders>
          <w:top w:val="nil"/>
        </w:tcBorders>
      </w:tcPr>
    </w:tblStylePr>
    <w:tblStylePr w:type="firstCol">
      <w:rPr>
        <w:rFonts w:cs="Times New Roman"/>
        <w:b/>
        <w:bCs/>
        <w:caps/>
      </w:rPr>
      <w:tblPr/>
      <w:tcPr>
        <w:tcBorders>
          <w:right w:val="single" w:sz="4" w:space="0" w:color="7F7F7F"/>
        </w:tcBorders>
      </w:tcPr>
    </w:tblStylePr>
    <w:tblStylePr w:type="lastCol">
      <w:rPr>
        <w:rFonts w:cs="Times New Roman"/>
        <w:b/>
        <w:bCs/>
        <w:caps/>
      </w:rPr>
      <w:tblPr/>
      <w:tcPr>
        <w:tcBorders>
          <w:left w:val="nil"/>
        </w:tcBorders>
      </w:tcPr>
    </w:tblStylePr>
    <w:tblStylePr w:type="band1Vert">
      <w:rPr>
        <w:rFonts w:cs="Times New Roman"/>
      </w:rPr>
      <w:tblPr/>
      <w:tcPr>
        <w:shd w:val="clear" w:color="auto" w:fill="F2F2F2"/>
      </w:tcPr>
    </w:tblStylePr>
    <w:tblStylePr w:type="band1Horz">
      <w:rPr>
        <w:rFonts w:cs="Times New Roman"/>
      </w:rPr>
      <w:tblPr/>
      <w:tcPr>
        <w:shd w:val="clear" w:color="auto" w:fill="F2F2F2"/>
      </w:tcPr>
    </w:tblStylePr>
    <w:tblStylePr w:type="neCell">
      <w:rPr>
        <w:rFonts w:cs="Times New Roman"/>
      </w:rPr>
      <w:tblPr/>
      <w:tcPr>
        <w:tcBorders>
          <w:left w:val="nil"/>
        </w:tcBorders>
      </w:tcPr>
    </w:tblStylePr>
    <w:tblStylePr w:type="nwCell">
      <w:rPr>
        <w:rFonts w:cs="Times New Roman"/>
      </w:rPr>
      <w:tblPr/>
      <w:tcPr>
        <w:tcBorders>
          <w:right w:val="nil"/>
        </w:tcBorders>
      </w:tcPr>
    </w:tblStylePr>
  </w:style>
  <w:style w:type="table" w:customStyle="1" w:styleId="TableGrid41">
    <w:name w:val="Table Grid41"/>
    <w:basedOn w:val="TableNormal"/>
    <w:next w:val="TableGrid"/>
    <w:uiPriority w:val="39"/>
    <w:rsid w:val="007E360C"/>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7E360C"/>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1">
    <w:name w:val="1 / 1.1 / 1.1.1211"/>
    <w:rsid w:val="007E360C"/>
  </w:style>
  <w:style w:type="character" w:customStyle="1" w:styleId="indented">
    <w:name w:val="indented"/>
    <w:basedOn w:val="DefaultParagraphFont"/>
    <w:rsid w:val="007E360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9979791">
      <w:bodyDiv w:val="1"/>
      <w:marLeft w:val="0"/>
      <w:marRight w:val="0"/>
      <w:marTop w:val="0"/>
      <w:marBottom w:val="0"/>
      <w:divBdr>
        <w:top w:val="none" w:sz="0" w:space="0" w:color="auto"/>
        <w:left w:val="none" w:sz="0" w:space="0" w:color="auto"/>
        <w:bottom w:val="none" w:sz="0" w:space="0" w:color="auto"/>
        <w:right w:val="none" w:sz="0" w:space="0" w:color="auto"/>
      </w:divBdr>
      <w:divsChild>
        <w:div w:id="1082609193">
          <w:marLeft w:val="0"/>
          <w:marRight w:val="0"/>
          <w:marTop w:val="0"/>
          <w:marBottom w:val="0"/>
          <w:divBdr>
            <w:top w:val="none" w:sz="0" w:space="0" w:color="auto"/>
            <w:left w:val="none" w:sz="0" w:space="0" w:color="auto"/>
            <w:bottom w:val="none" w:sz="0" w:space="0" w:color="auto"/>
            <w:right w:val="none" w:sz="0" w:space="0" w:color="auto"/>
          </w:divBdr>
        </w:div>
        <w:div w:id="754671368">
          <w:marLeft w:val="0"/>
          <w:marRight w:val="0"/>
          <w:marTop w:val="0"/>
          <w:marBottom w:val="0"/>
          <w:divBdr>
            <w:top w:val="none" w:sz="0" w:space="0" w:color="auto"/>
            <w:left w:val="none" w:sz="0" w:space="0" w:color="auto"/>
            <w:bottom w:val="none" w:sz="0" w:space="0" w:color="auto"/>
            <w:right w:val="none" w:sz="0" w:space="0" w:color="auto"/>
          </w:divBdr>
        </w:div>
        <w:div w:id="1273247777">
          <w:marLeft w:val="0"/>
          <w:marRight w:val="0"/>
          <w:marTop w:val="0"/>
          <w:marBottom w:val="0"/>
          <w:divBdr>
            <w:top w:val="none" w:sz="0" w:space="0" w:color="auto"/>
            <w:left w:val="none" w:sz="0" w:space="0" w:color="auto"/>
            <w:bottom w:val="none" w:sz="0" w:space="0" w:color="auto"/>
            <w:right w:val="none" w:sz="0" w:space="0" w:color="auto"/>
          </w:divBdr>
        </w:div>
        <w:div w:id="1725987959">
          <w:marLeft w:val="0"/>
          <w:marRight w:val="0"/>
          <w:marTop w:val="0"/>
          <w:marBottom w:val="0"/>
          <w:divBdr>
            <w:top w:val="none" w:sz="0" w:space="0" w:color="auto"/>
            <w:left w:val="none" w:sz="0" w:space="0" w:color="auto"/>
            <w:bottom w:val="none" w:sz="0" w:space="0" w:color="auto"/>
            <w:right w:val="none" w:sz="0" w:space="0" w:color="auto"/>
          </w:divBdr>
        </w:div>
      </w:divsChild>
    </w:div>
    <w:div w:id="224949748">
      <w:bodyDiv w:val="1"/>
      <w:marLeft w:val="0"/>
      <w:marRight w:val="0"/>
      <w:marTop w:val="0"/>
      <w:marBottom w:val="0"/>
      <w:divBdr>
        <w:top w:val="none" w:sz="0" w:space="0" w:color="auto"/>
        <w:left w:val="none" w:sz="0" w:space="0" w:color="auto"/>
        <w:bottom w:val="none" w:sz="0" w:space="0" w:color="auto"/>
        <w:right w:val="none" w:sz="0" w:space="0" w:color="auto"/>
      </w:divBdr>
      <w:divsChild>
        <w:div w:id="1711876752">
          <w:marLeft w:val="0"/>
          <w:marRight w:val="0"/>
          <w:marTop w:val="0"/>
          <w:marBottom w:val="0"/>
          <w:divBdr>
            <w:top w:val="none" w:sz="0" w:space="0" w:color="auto"/>
            <w:left w:val="none" w:sz="0" w:space="0" w:color="auto"/>
            <w:bottom w:val="none" w:sz="0" w:space="0" w:color="auto"/>
            <w:right w:val="none" w:sz="0" w:space="0" w:color="auto"/>
          </w:divBdr>
        </w:div>
        <w:div w:id="1671252505">
          <w:marLeft w:val="0"/>
          <w:marRight w:val="0"/>
          <w:marTop w:val="0"/>
          <w:marBottom w:val="0"/>
          <w:divBdr>
            <w:top w:val="none" w:sz="0" w:space="0" w:color="auto"/>
            <w:left w:val="none" w:sz="0" w:space="0" w:color="auto"/>
            <w:bottom w:val="none" w:sz="0" w:space="0" w:color="auto"/>
            <w:right w:val="none" w:sz="0" w:space="0" w:color="auto"/>
          </w:divBdr>
        </w:div>
        <w:div w:id="871306780">
          <w:marLeft w:val="0"/>
          <w:marRight w:val="0"/>
          <w:marTop w:val="0"/>
          <w:marBottom w:val="0"/>
          <w:divBdr>
            <w:top w:val="none" w:sz="0" w:space="0" w:color="auto"/>
            <w:left w:val="none" w:sz="0" w:space="0" w:color="auto"/>
            <w:bottom w:val="none" w:sz="0" w:space="0" w:color="auto"/>
            <w:right w:val="none" w:sz="0" w:space="0" w:color="auto"/>
          </w:divBdr>
        </w:div>
        <w:div w:id="951086737">
          <w:marLeft w:val="0"/>
          <w:marRight w:val="0"/>
          <w:marTop w:val="0"/>
          <w:marBottom w:val="0"/>
          <w:divBdr>
            <w:top w:val="none" w:sz="0" w:space="0" w:color="auto"/>
            <w:left w:val="none" w:sz="0" w:space="0" w:color="auto"/>
            <w:bottom w:val="none" w:sz="0" w:space="0" w:color="auto"/>
            <w:right w:val="none" w:sz="0" w:space="0" w:color="auto"/>
          </w:divBdr>
        </w:div>
        <w:div w:id="1653219073">
          <w:marLeft w:val="0"/>
          <w:marRight w:val="0"/>
          <w:marTop w:val="0"/>
          <w:marBottom w:val="0"/>
          <w:divBdr>
            <w:top w:val="none" w:sz="0" w:space="0" w:color="auto"/>
            <w:left w:val="none" w:sz="0" w:space="0" w:color="auto"/>
            <w:bottom w:val="none" w:sz="0" w:space="0" w:color="auto"/>
            <w:right w:val="none" w:sz="0" w:space="0" w:color="auto"/>
          </w:divBdr>
        </w:div>
      </w:divsChild>
    </w:div>
    <w:div w:id="255094206">
      <w:bodyDiv w:val="1"/>
      <w:marLeft w:val="0"/>
      <w:marRight w:val="0"/>
      <w:marTop w:val="0"/>
      <w:marBottom w:val="0"/>
      <w:divBdr>
        <w:top w:val="none" w:sz="0" w:space="0" w:color="auto"/>
        <w:left w:val="none" w:sz="0" w:space="0" w:color="auto"/>
        <w:bottom w:val="none" w:sz="0" w:space="0" w:color="auto"/>
        <w:right w:val="none" w:sz="0" w:space="0" w:color="auto"/>
      </w:divBdr>
      <w:divsChild>
        <w:div w:id="370036558">
          <w:marLeft w:val="0"/>
          <w:marRight w:val="0"/>
          <w:marTop w:val="0"/>
          <w:marBottom w:val="0"/>
          <w:divBdr>
            <w:top w:val="none" w:sz="0" w:space="0" w:color="auto"/>
            <w:left w:val="none" w:sz="0" w:space="0" w:color="auto"/>
            <w:bottom w:val="none" w:sz="0" w:space="0" w:color="auto"/>
            <w:right w:val="none" w:sz="0" w:space="0" w:color="auto"/>
          </w:divBdr>
        </w:div>
        <w:div w:id="63719545">
          <w:marLeft w:val="0"/>
          <w:marRight w:val="0"/>
          <w:marTop w:val="0"/>
          <w:marBottom w:val="0"/>
          <w:divBdr>
            <w:top w:val="none" w:sz="0" w:space="0" w:color="auto"/>
            <w:left w:val="none" w:sz="0" w:space="0" w:color="auto"/>
            <w:bottom w:val="none" w:sz="0" w:space="0" w:color="auto"/>
            <w:right w:val="none" w:sz="0" w:space="0" w:color="auto"/>
          </w:divBdr>
        </w:div>
        <w:div w:id="1881430740">
          <w:marLeft w:val="0"/>
          <w:marRight w:val="0"/>
          <w:marTop w:val="0"/>
          <w:marBottom w:val="0"/>
          <w:divBdr>
            <w:top w:val="none" w:sz="0" w:space="0" w:color="auto"/>
            <w:left w:val="none" w:sz="0" w:space="0" w:color="auto"/>
            <w:bottom w:val="none" w:sz="0" w:space="0" w:color="auto"/>
            <w:right w:val="none" w:sz="0" w:space="0" w:color="auto"/>
          </w:divBdr>
        </w:div>
        <w:div w:id="129443000">
          <w:marLeft w:val="0"/>
          <w:marRight w:val="0"/>
          <w:marTop w:val="0"/>
          <w:marBottom w:val="0"/>
          <w:divBdr>
            <w:top w:val="none" w:sz="0" w:space="0" w:color="auto"/>
            <w:left w:val="none" w:sz="0" w:space="0" w:color="auto"/>
            <w:bottom w:val="none" w:sz="0" w:space="0" w:color="auto"/>
            <w:right w:val="none" w:sz="0" w:space="0" w:color="auto"/>
          </w:divBdr>
        </w:div>
        <w:div w:id="740101050">
          <w:marLeft w:val="0"/>
          <w:marRight w:val="0"/>
          <w:marTop w:val="0"/>
          <w:marBottom w:val="0"/>
          <w:divBdr>
            <w:top w:val="none" w:sz="0" w:space="0" w:color="auto"/>
            <w:left w:val="none" w:sz="0" w:space="0" w:color="auto"/>
            <w:bottom w:val="none" w:sz="0" w:space="0" w:color="auto"/>
            <w:right w:val="none" w:sz="0" w:space="0" w:color="auto"/>
          </w:divBdr>
        </w:div>
        <w:div w:id="2038238120">
          <w:marLeft w:val="0"/>
          <w:marRight w:val="0"/>
          <w:marTop w:val="0"/>
          <w:marBottom w:val="0"/>
          <w:divBdr>
            <w:top w:val="none" w:sz="0" w:space="0" w:color="auto"/>
            <w:left w:val="none" w:sz="0" w:space="0" w:color="auto"/>
            <w:bottom w:val="none" w:sz="0" w:space="0" w:color="auto"/>
            <w:right w:val="none" w:sz="0" w:space="0" w:color="auto"/>
          </w:divBdr>
        </w:div>
        <w:div w:id="972756554">
          <w:marLeft w:val="0"/>
          <w:marRight w:val="0"/>
          <w:marTop w:val="0"/>
          <w:marBottom w:val="0"/>
          <w:divBdr>
            <w:top w:val="none" w:sz="0" w:space="0" w:color="auto"/>
            <w:left w:val="none" w:sz="0" w:space="0" w:color="auto"/>
            <w:bottom w:val="none" w:sz="0" w:space="0" w:color="auto"/>
            <w:right w:val="none" w:sz="0" w:space="0" w:color="auto"/>
          </w:divBdr>
        </w:div>
        <w:div w:id="645933279">
          <w:marLeft w:val="0"/>
          <w:marRight w:val="0"/>
          <w:marTop w:val="0"/>
          <w:marBottom w:val="0"/>
          <w:divBdr>
            <w:top w:val="none" w:sz="0" w:space="0" w:color="auto"/>
            <w:left w:val="none" w:sz="0" w:space="0" w:color="auto"/>
            <w:bottom w:val="none" w:sz="0" w:space="0" w:color="auto"/>
            <w:right w:val="none" w:sz="0" w:space="0" w:color="auto"/>
          </w:divBdr>
        </w:div>
        <w:div w:id="147325423">
          <w:marLeft w:val="0"/>
          <w:marRight w:val="0"/>
          <w:marTop w:val="0"/>
          <w:marBottom w:val="0"/>
          <w:divBdr>
            <w:top w:val="none" w:sz="0" w:space="0" w:color="auto"/>
            <w:left w:val="none" w:sz="0" w:space="0" w:color="auto"/>
            <w:bottom w:val="none" w:sz="0" w:space="0" w:color="auto"/>
            <w:right w:val="none" w:sz="0" w:space="0" w:color="auto"/>
          </w:divBdr>
        </w:div>
        <w:div w:id="822620410">
          <w:marLeft w:val="0"/>
          <w:marRight w:val="0"/>
          <w:marTop w:val="0"/>
          <w:marBottom w:val="0"/>
          <w:divBdr>
            <w:top w:val="none" w:sz="0" w:space="0" w:color="auto"/>
            <w:left w:val="none" w:sz="0" w:space="0" w:color="auto"/>
            <w:bottom w:val="none" w:sz="0" w:space="0" w:color="auto"/>
            <w:right w:val="none" w:sz="0" w:space="0" w:color="auto"/>
          </w:divBdr>
        </w:div>
      </w:divsChild>
    </w:div>
    <w:div w:id="453059998">
      <w:bodyDiv w:val="1"/>
      <w:marLeft w:val="0"/>
      <w:marRight w:val="0"/>
      <w:marTop w:val="0"/>
      <w:marBottom w:val="0"/>
      <w:divBdr>
        <w:top w:val="none" w:sz="0" w:space="0" w:color="auto"/>
        <w:left w:val="none" w:sz="0" w:space="0" w:color="auto"/>
        <w:bottom w:val="none" w:sz="0" w:space="0" w:color="auto"/>
        <w:right w:val="none" w:sz="0" w:space="0" w:color="auto"/>
      </w:divBdr>
      <w:divsChild>
        <w:div w:id="549996965">
          <w:marLeft w:val="0"/>
          <w:marRight w:val="0"/>
          <w:marTop w:val="0"/>
          <w:marBottom w:val="0"/>
          <w:divBdr>
            <w:top w:val="none" w:sz="0" w:space="0" w:color="auto"/>
            <w:left w:val="none" w:sz="0" w:space="0" w:color="auto"/>
            <w:bottom w:val="none" w:sz="0" w:space="0" w:color="auto"/>
            <w:right w:val="none" w:sz="0" w:space="0" w:color="auto"/>
          </w:divBdr>
        </w:div>
        <w:div w:id="1266769137">
          <w:marLeft w:val="0"/>
          <w:marRight w:val="0"/>
          <w:marTop w:val="0"/>
          <w:marBottom w:val="0"/>
          <w:divBdr>
            <w:top w:val="none" w:sz="0" w:space="0" w:color="auto"/>
            <w:left w:val="none" w:sz="0" w:space="0" w:color="auto"/>
            <w:bottom w:val="none" w:sz="0" w:space="0" w:color="auto"/>
            <w:right w:val="none" w:sz="0" w:space="0" w:color="auto"/>
          </w:divBdr>
        </w:div>
        <w:div w:id="941380489">
          <w:marLeft w:val="0"/>
          <w:marRight w:val="0"/>
          <w:marTop w:val="0"/>
          <w:marBottom w:val="0"/>
          <w:divBdr>
            <w:top w:val="none" w:sz="0" w:space="0" w:color="auto"/>
            <w:left w:val="none" w:sz="0" w:space="0" w:color="auto"/>
            <w:bottom w:val="none" w:sz="0" w:space="0" w:color="auto"/>
            <w:right w:val="none" w:sz="0" w:space="0" w:color="auto"/>
          </w:divBdr>
        </w:div>
        <w:div w:id="1179659338">
          <w:marLeft w:val="0"/>
          <w:marRight w:val="0"/>
          <w:marTop w:val="0"/>
          <w:marBottom w:val="0"/>
          <w:divBdr>
            <w:top w:val="none" w:sz="0" w:space="0" w:color="auto"/>
            <w:left w:val="none" w:sz="0" w:space="0" w:color="auto"/>
            <w:bottom w:val="none" w:sz="0" w:space="0" w:color="auto"/>
            <w:right w:val="none" w:sz="0" w:space="0" w:color="auto"/>
          </w:divBdr>
        </w:div>
        <w:div w:id="506211823">
          <w:marLeft w:val="0"/>
          <w:marRight w:val="0"/>
          <w:marTop w:val="0"/>
          <w:marBottom w:val="0"/>
          <w:divBdr>
            <w:top w:val="none" w:sz="0" w:space="0" w:color="auto"/>
            <w:left w:val="none" w:sz="0" w:space="0" w:color="auto"/>
            <w:bottom w:val="none" w:sz="0" w:space="0" w:color="auto"/>
            <w:right w:val="none" w:sz="0" w:space="0" w:color="auto"/>
          </w:divBdr>
        </w:div>
        <w:div w:id="874804244">
          <w:marLeft w:val="0"/>
          <w:marRight w:val="0"/>
          <w:marTop w:val="0"/>
          <w:marBottom w:val="0"/>
          <w:divBdr>
            <w:top w:val="none" w:sz="0" w:space="0" w:color="auto"/>
            <w:left w:val="none" w:sz="0" w:space="0" w:color="auto"/>
            <w:bottom w:val="none" w:sz="0" w:space="0" w:color="auto"/>
            <w:right w:val="none" w:sz="0" w:space="0" w:color="auto"/>
          </w:divBdr>
        </w:div>
        <w:div w:id="1244485335">
          <w:marLeft w:val="0"/>
          <w:marRight w:val="0"/>
          <w:marTop w:val="0"/>
          <w:marBottom w:val="0"/>
          <w:divBdr>
            <w:top w:val="none" w:sz="0" w:space="0" w:color="auto"/>
            <w:left w:val="none" w:sz="0" w:space="0" w:color="auto"/>
            <w:bottom w:val="none" w:sz="0" w:space="0" w:color="auto"/>
            <w:right w:val="none" w:sz="0" w:space="0" w:color="auto"/>
          </w:divBdr>
        </w:div>
      </w:divsChild>
    </w:div>
    <w:div w:id="702250306">
      <w:bodyDiv w:val="1"/>
      <w:marLeft w:val="0"/>
      <w:marRight w:val="0"/>
      <w:marTop w:val="0"/>
      <w:marBottom w:val="0"/>
      <w:divBdr>
        <w:top w:val="none" w:sz="0" w:space="0" w:color="auto"/>
        <w:left w:val="none" w:sz="0" w:space="0" w:color="auto"/>
        <w:bottom w:val="none" w:sz="0" w:space="0" w:color="auto"/>
        <w:right w:val="none" w:sz="0" w:space="0" w:color="auto"/>
      </w:divBdr>
      <w:divsChild>
        <w:div w:id="1380784435">
          <w:marLeft w:val="0"/>
          <w:marRight w:val="0"/>
          <w:marTop w:val="0"/>
          <w:marBottom w:val="0"/>
          <w:divBdr>
            <w:top w:val="none" w:sz="0" w:space="0" w:color="auto"/>
            <w:left w:val="none" w:sz="0" w:space="0" w:color="auto"/>
            <w:bottom w:val="none" w:sz="0" w:space="0" w:color="auto"/>
            <w:right w:val="none" w:sz="0" w:space="0" w:color="auto"/>
          </w:divBdr>
        </w:div>
        <w:div w:id="1059665490">
          <w:marLeft w:val="0"/>
          <w:marRight w:val="0"/>
          <w:marTop w:val="0"/>
          <w:marBottom w:val="0"/>
          <w:divBdr>
            <w:top w:val="none" w:sz="0" w:space="0" w:color="auto"/>
            <w:left w:val="none" w:sz="0" w:space="0" w:color="auto"/>
            <w:bottom w:val="none" w:sz="0" w:space="0" w:color="auto"/>
            <w:right w:val="none" w:sz="0" w:space="0" w:color="auto"/>
          </w:divBdr>
        </w:div>
        <w:div w:id="1872306269">
          <w:marLeft w:val="0"/>
          <w:marRight w:val="0"/>
          <w:marTop w:val="0"/>
          <w:marBottom w:val="0"/>
          <w:divBdr>
            <w:top w:val="none" w:sz="0" w:space="0" w:color="auto"/>
            <w:left w:val="none" w:sz="0" w:space="0" w:color="auto"/>
            <w:bottom w:val="none" w:sz="0" w:space="0" w:color="auto"/>
            <w:right w:val="none" w:sz="0" w:space="0" w:color="auto"/>
          </w:divBdr>
        </w:div>
        <w:div w:id="492524505">
          <w:marLeft w:val="0"/>
          <w:marRight w:val="0"/>
          <w:marTop w:val="0"/>
          <w:marBottom w:val="0"/>
          <w:divBdr>
            <w:top w:val="none" w:sz="0" w:space="0" w:color="auto"/>
            <w:left w:val="none" w:sz="0" w:space="0" w:color="auto"/>
            <w:bottom w:val="none" w:sz="0" w:space="0" w:color="auto"/>
            <w:right w:val="none" w:sz="0" w:space="0" w:color="auto"/>
          </w:divBdr>
        </w:div>
        <w:div w:id="1156728554">
          <w:marLeft w:val="0"/>
          <w:marRight w:val="0"/>
          <w:marTop w:val="0"/>
          <w:marBottom w:val="0"/>
          <w:divBdr>
            <w:top w:val="none" w:sz="0" w:space="0" w:color="auto"/>
            <w:left w:val="none" w:sz="0" w:space="0" w:color="auto"/>
            <w:bottom w:val="none" w:sz="0" w:space="0" w:color="auto"/>
            <w:right w:val="none" w:sz="0" w:space="0" w:color="auto"/>
          </w:divBdr>
        </w:div>
        <w:div w:id="192227241">
          <w:marLeft w:val="0"/>
          <w:marRight w:val="0"/>
          <w:marTop w:val="0"/>
          <w:marBottom w:val="0"/>
          <w:divBdr>
            <w:top w:val="none" w:sz="0" w:space="0" w:color="auto"/>
            <w:left w:val="none" w:sz="0" w:space="0" w:color="auto"/>
            <w:bottom w:val="none" w:sz="0" w:space="0" w:color="auto"/>
            <w:right w:val="none" w:sz="0" w:space="0" w:color="auto"/>
          </w:divBdr>
        </w:div>
        <w:div w:id="525757278">
          <w:marLeft w:val="0"/>
          <w:marRight w:val="0"/>
          <w:marTop w:val="0"/>
          <w:marBottom w:val="0"/>
          <w:divBdr>
            <w:top w:val="none" w:sz="0" w:space="0" w:color="auto"/>
            <w:left w:val="none" w:sz="0" w:space="0" w:color="auto"/>
            <w:bottom w:val="none" w:sz="0" w:space="0" w:color="auto"/>
            <w:right w:val="none" w:sz="0" w:space="0" w:color="auto"/>
          </w:divBdr>
        </w:div>
      </w:divsChild>
    </w:div>
    <w:div w:id="750810091">
      <w:bodyDiv w:val="1"/>
      <w:marLeft w:val="0"/>
      <w:marRight w:val="0"/>
      <w:marTop w:val="0"/>
      <w:marBottom w:val="0"/>
      <w:divBdr>
        <w:top w:val="none" w:sz="0" w:space="0" w:color="auto"/>
        <w:left w:val="none" w:sz="0" w:space="0" w:color="auto"/>
        <w:bottom w:val="none" w:sz="0" w:space="0" w:color="auto"/>
        <w:right w:val="none" w:sz="0" w:space="0" w:color="auto"/>
      </w:divBdr>
      <w:divsChild>
        <w:div w:id="177812026">
          <w:marLeft w:val="0"/>
          <w:marRight w:val="0"/>
          <w:marTop w:val="0"/>
          <w:marBottom w:val="0"/>
          <w:divBdr>
            <w:top w:val="none" w:sz="0" w:space="0" w:color="auto"/>
            <w:left w:val="none" w:sz="0" w:space="0" w:color="auto"/>
            <w:bottom w:val="none" w:sz="0" w:space="0" w:color="auto"/>
            <w:right w:val="none" w:sz="0" w:space="0" w:color="auto"/>
          </w:divBdr>
        </w:div>
        <w:div w:id="29115935">
          <w:marLeft w:val="0"/>
          <w:marRight w:val="0"/>
          <w:marTop w:val="0"/>
          <w:marBottom w:val="0"/>
          <w:divBdr>
            <w:top w:val="none" w:sz="0" w:space="0" w:color="auto"/>
            <w:left w:val="none" w:sz="0" w:space="0" w:color="auto"/>
            <w:bottom w:val="none" w:sz="0" w:space="0" w:color="auto"/>
            <w:right w:val="none" w:sz="0" w:space="0" w:color="auto"/>
          </w:divBdr>
        </w:div>
      </w:divsChild>
    </w:div>
    <w:div w:id="780419884">
      <w:bodyDiv w:val="1"/>
      <w:marLeft w:val="0"/>
      <w:marRight w:val="0"/>
      <w:marTop w:val="0"/>
      <w:marBottom w:val="0"/>
      <w:divBdr>
        <w:top w:val="none" w:sz="0" w:space="0" w:color="auto"/>
        <w:left w:val="none" w:sz="0" w:space="0" w:color="auto"/>
        <w:bottom w:val="none" w:sz="0" w:space="0" w:color="auto"/>
        <w:right w:val="none" w:sz="0" w:space="0" w:color="auto"/>
      </w:divBdr>
      <w:divsChild>
        <w:div w:id="852649956">
          <w:marLeft w:val="0"/>
          <w:marRight w:val="0"/>
          <w:marTop w:val="0"/>
          <w:marBottom w:val="0"/>
          <w:divBdr>
            <w:top w:val="none" w:sz="0" w:space="0" w:color="auto"/>
            <w:left w:val="none" w:sz="0" w:space="0" w:color="auto"/>
            <w:bottom w:val="none" w:sz="0" w:space="0" w:color="auto"/>
            <w:right w:val="none" w:sz="0" w:space="0" w:color="auto"/>
          </w:divBdr>
          <w:divsChild>
            <w:div w:id="1124425773">
              <w:marLeft w:val="0"/>
              <w:marRight w:val="0"/>
              <w:marTop w:val="0"/>
              <w:marBottom w:val="0"/>
              <w:divBdr>
                <w:top w:val="none" w:sz="0" w:space="0" w:color="auto"/>
                <w:left w:val="none" w:sz="0" w:space="0" w:color="auto"/>
                <w:bottom w:val="none" w:sz="0" w:space="0" w:color="auto"/>
                <w:right w:val="none" w:sz="0" w:space="0" w:color="auto"/>
              </w:divBdr>
            </w:div>
          </w:divsChild>
        </w:div>
        <w:div w:id="48506648">
          <w:marLeft w:val="0"/>
          <w:marRight w:val="0"/>
          <w:marTop w:val="0"/>
          <w:marBottom w:val="0"/>
          <w:divBdr>
            <w:top w:val="none" w:sz="0" w:space="0" w:color="auto"/>
            <w:left w:val="none" w:sz="0" w:space="0" w:color="auto"/>
            <w:bottom w:val="none" w:sz="0" w:space="0" w:color="auto"/>
            <w:right w:val="none" w:sz="0" w:space="0" w:color="auto"/>
          </w:divBdr>
          <w:divsChild>
            <w:div w:id="996759875">
              <w:marLeft w:val="0"/>
              <w:marRight w:val="0"/>
              <w:marTop w:val="0"/>
              <w:marBottom w:val="0"/>
              <w:divBdr>
                <w:top w:val="none" w:sz="0" w:space="0" w:color="auto"/>
                <w:left w:val="none" w:sz="0" w:space="0" w:color="auto"/>
                <w:bottom w:val="none" w:sz="0" w:space="0" w:color="auto"/>
                <w:right w:val="none" w:sz="0" w:space="0" w:color="auto"/>
              </w:divBdr>
            </w:div>
          </w:divsChild>
        </w:div>
        <w:div w:id="1691368020">
          <w:marLeft w:val="0"/>
          <w:marRight w:val="0"/>
          <w:marTop w:val="0"/>
          <w:marBottom w:val="0"/>
          <w:divBdr>
            <w:top w:val="none" w:sz="0" w:space="0" w:color="auto"/>
            <w:left w:val="none" w:sz="0" w:space="0" w:color="auto"/>
            <w:bottom w:val="none" w:sz="0" w:space="0" w:color="auto"/>
            <w:right w:val="none" w:sz="0" w:space="0" w:color="auto"/>
          </w:divBdr>
          <w:divsChild>
            <w:div w:id="1321424788">
              <w:marLeft w:val="0"/>
              <w:marRight w:val="0"/>
              <w:marTop w:val="0"/>
              <w:marBottom w:val="0"/>
              <w:divBdr>
                <w:top w:val="none" w:sz="0" w:space="0" w:color="auto"/>
                <w:left w:val="none" w:sz="0" w:space="0" w:color="auto"/>
                <w:bottom w:val="none" w:sz="0" w:space="0" w:color="auto"/>
                <w:right w:val="none" w:sz="0" w:space="0" w:color="auto"/>
              </w:divBdr>
            </w:div>
          </w:divsChild>
        </w:div>
        <w:div w:id="72052214">
          <w:marLeft w:val="0"/>
          <w:marRight w:val="0"/>
          <w:marTop w:val="0"/>
          <w:marBottom w:val="0"/>
          <w:divBdr>
            <w:top w:val="none" w:sz="0" w:space="0" w:color="auto"/>
            <w:left w:val="none" w:sz="0" w:space="0" w:color="auto"/>
            <w:bottom w:val="none" w:sz="0" w:space="0" w:color="auto"/>
            <w:right w:val="none" w:sz="0" w:space="0" w:color="auto"/>
          </w:divBdr>
          <w:divsChild>
            <w:div w:id="1250774021">
              <w:marLeft w:val="0"/>
              <w:marRight w:val="0"/>
              <w:marTop w:val="0"/>
              <w:marBottom w:val="0"/>
              <w:divBdr>
                <w:top w:val="none" w:sz="0" w:space="0" w:color="auto"/>
                <w:left w:val="none" w:sz="0" w:space="0" w:color="auto"/>
                <w:bottom w:val="none" w:sz="0" w:space="0" w:color="auto"/>
                <w:right w:val="none" w:sz="0" w:space="0" w:color="auto"/>
              </w:divBdr>
            </w:div>
          </w:divsChild>
        </w:div>
        <w:div w:id="219245403">
          <w:marLeft w:val="0"/>
          <w:marRight w:val="0"/>
          <w:marTop w:val="0"/>
          <w:marBottom w:val="0"/>
          <w:divBdr>
            <w:top w:val="none" w:sz="0" w:space="0" w:color="auto"/>
            <w:left w:val="none" w:sz="0" w:space="0" w:color="auto"/>
            <w:bottom w:val="none" w:sz="0" w:space="0" w:color="auto"/>
            <w:right w:val="none" w:sz="0" w:space="0" w:color="auto"/>
          </w:divBdr>
          <w:divsChild>
            <w:div w:id="599413910">
              <w:marLeft w:val="0"/>
              <w:marRight w:val="0"/>
              <w:marTop w:val="0"/>
              <w:marBottom w:val="0"/>
              <w:divBdr>
                <w:top w:val="none" w:sz="0" w:space="0" w:color="auto"/>
                <w:left w:val="none" w:sz="0" w:space="0" w:color="auto"/>
                <w:bottom w:val="none" w:sz="0" w:space="0" w:color="auto"/>
                <w:right w:val="none" w:sz="0" w:space="0" w:color="auto"/>
              </w:divBdr>
            </w:div>
          </w:divsChild>
        </w:div>
        <w:div w:id="892423924">
          <w:marLeft w:val="0"/>
          <w:marRight w:val="0"/>
          <w:marTop w:val="0"/>
          <w:marBottom w:val="0"/>
          <w:divBdr>
            <w:top w:val="none" w:sz="0" w:space="0" w:color="auto"/>
            <w:left w:val="none" w:sz="0" w:space="0" w:color="auto"/>
            <w:bottom w:val="none" w:sz="0" w:space="0" w:color="auto"/>
            <w:right w:val="none" w:sz="0" w:space="0" w:color="auto"/>
          </w:divBdr>
          <w:divsChild>
            <w:div w:id="530992445">
              <w:marLeft w:val="0"/>
              <w:marRight w:val="0"/>
              <w:marTop w:val="0"/>
              <w:marBottom w:val="0"/>
              <w:divBdr>
                <w:top w:val="none" w:sz="0" w:space="0" w:color="auto"/>
                <w:left w:val="none" w:sz="0" w:space="0" w:color="auto"/>
                <w:bottom w:val="none" w:sz="0" w:space="0" w:color="auto"/>
                <w:right w:val="none" w:sz="0" w:space="0" w:color="auto"/>
              </w:divBdr>
            </w:div>
          </w:divsChild>
        </w:div>
        <w:div w:id="1067875198">
          <w:marLeft w:val="0"/>
          <w:marRight w:val="0"/>
          <w:marTop w:val="0"/>
          <w:marBottom w:val="0"/>
          <w:divBdr>
            <w:top w:val="none" w:sz="0" w:space="0" w:color="auto"/>
            <w:left w:val="none" w:sz="0" w:space="0" w:color="auto"/>
            <w:bottom w:val="none" w:sz="0" w:space="0" w:color="auto"/>
            <w:right w:val="none" w:sz="0" w:space="0" w:color="auto"/>
          </w:divBdr>
          <w:divsChild>
            <w:div w:id="165370241">
              <w:marLeft w:val="0"/>
              <w:marRight w:val="0"/>
              <w:marTop w:val="0"/>
              <w:marBottom w:val="0"/>
              <w:divBdr>
                <w:top w:val="none" w:sz="0" w:space="0" w:color="auto"/>
                <w:left w:val="none" w:sz="0" w:space="0" w:color="auto"/>
                <w:bottom w:val="none" w:sz="0" w:space="0" w:color="auto"/>
                <w:right w:val="none" w:sz="0" w:space="0" w:color="auto"/>
              </w:divBdr>
            </w:div>
          </w:divsChild>
        </w:div>
        <w:div w:id="1001153641">
          <w:marLeft w:val="0"/>
          <w:marRight w:val="0"/>
          <w:marTop w:val="0"/>
          <w:marBottom w:val="0"/>
          <w:divBdr>
            <w:top w:val="none" w:sz="0" w:space="0" w:color="auto"/>
            <w:left w:val="none" w:sz="0" w:space="0" w:color="auto"/>
            <w:bottom w:val="none" w:sz="0" w:space="0" w:color="auto"/>
            <w:right w:val="none" w:sz="0" w:space="0" w:color="auto"/>
          </w:divBdr>
          <w:divsChild>
            <w:div w:id="779447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659645">
      <w:bodyDiv w:val="1"/>
      <w:marLeft w:val="0"/>
      <w:marRight w:val="0"/>
      <w:marTop w:val="0"/>
      <w:marBottom w:val="0"/>
      <w:divBdr>
        <w:top w:val="none" w:sz="0" w:space="0" w:color="auto"/>
        <w:left w:val="none" w:sz="0" w:space="0" w:color="auto"/>
        <w:bottom w:val="none" w:sz="0" w:space="0" w:color="auto"/>
        <w:right w:val="none" w:sz="0" w:space="0" w:color="auto"/>
      </w:divBdr>
      <w:divsChild>
        <w:div w:id="925963727">
          <w:marLeft w:val="0"/>
          <w:marRight w:val="0"/>
          <w:marTop w:val="0"/>
          <w:marBottom w:val="0"/>
          <w:divBdr>
            <w:top w:val="none" w:sz="0" w:space="0" w:color="auto"/>
            <w:left w:val="none" w:sz="0" w:space="0" w:color="auto"/>
            <w:bottom w:val="none" w:sz="0" w:space="0" w:color="auto"/>
            <w:right w:val="none" w:sz="0" w:space="0" w:color="auto"/>
          </w:divBdr>
        </w:div>
        <w:div w:id="1048646617">
          <w:marLeft w:val="0"/>
          <w:marRight w:val="0"/>
          <w:marTop w:val="0"/>
          <w:marBottom w:val="0"/>
          <w:divBdr>
            <w:top w:val="none" w:sz="0" w:space="0" w:color="auto"/>
            <w:left w:val="none" w:sz="0" w:space="0" w:color="auto"/>
            <w:bottom w:val="none" w:sz="0" w:space="0" w:color="auto"/>
            <w:right w:val="none" w:sz="0" w:space="0" w:color="auto"/>
          </w:divBdr>
        </w:div>
        <w:div w:id="1951351225">
          <w:marLeft w:val="0"/>
          <w:marRight w:val="0"/>
          <w:marTop w:val="0"/>
          <w:marBottom w:val="0"/>
          <w:divBdr>
            <w:top w:val="none" w:sz="0" w:space="0" w:color="auto"/>
            <w:left w:val="none" w:sz="0" w:space="0" w:color="auto"/>
            <w:bottom w:val="none" w:sz="0" w:space="0" w:color="auto"/>
            <w:right w:val="none" w:sz="0" w:space="0" w:color="auto"/>
          </w:divBdr>
        </w:div>
        <w:div w:id="2136438194">
          <w:marLeft w:val="0"/>
          <w:marRight w:val="0"/>
          <w:marTop w:val="0"/>
          <w:marBottom w:val="0"/>
          <w:divBdr>
            <w:top w:val="none" w:sz="0" w:space="0" w:color="auto"/>
            <w:left w:val="none" w:sz="0" w:space="0" w:color="auto"/>
            <w:bottom w:val="none" w:sz="0" w:space="0" w:color="auto"/>
            <w:right w:val="none" w:sz="0" w:space="0" w:color="auto"/>
          </w:divBdr>
        </w:div>
        <w:div w:id="1592155001">
          <w:marLeft w:val="0"/>
          <w:marRight w:val="0"/>
          <w:marTop w:val="0"/>
          <w:marBottom w:val="0"/>
          <w:divBdr>
            <w:top w:val="none" w:sz="0" w:space="0" w:color="auto"/>
            <w:left w:val="none" w:sz="0" w:space="0" w:color="auto"/>
            <w:bottom w:val="none" w:sz="0" w:space="0" w:color="auto"/>
            <w:right w:val="none" w:sz="0" w:space="0" w:color="auto"/>
          </w:divBdr>
        </w:div>
        <w:div w:id="1350520101">
          <w:marLeft w:val="0"/>
          <w:marRight w:val="0"/>
          <w:marTop w:val="0"/>
          <w:marBottom w:val="0"/>
          <w:divBdr>
            <w:top w:val="none" w:sz="0" w:space="0" w:color="auto"/>
            <w:left w:val="none" w:sz="0" w:space="0" w:color="auto"/>
            <w:bottom w:val="none" w:sz="0" w:space="0" w:color="auto"/>
            <w:right w:val="none" w:sz="0" w:space="0" w:color="auto"/>
          </w:divBdr>
        </w:div>
      </w:divsChild>
    </w:div>
    <w:div w:id="827863897">
      <w:bodyDiv w:val="1"/>
      <w:marLeft w:val="0"/>
      <w:marRight w:val="0"/>
      <w:marTop w:val="0"/>
      <w:marBottom w:val="0"/>
      <w:divBdr>
        <w:top w:val="none" w:sz="0" w:space="0" w:color="auto"/>
        <w:left w:val="none" w:sz="0" w:space="0" w:color="auto"/>
        <w:bottom w:val="none" w:sz="0" w:space="0" w:color="auto"/>
        <w:right w:val="none" w:sz="0" w:space="0" w:color="auto"/>
      </w:divBdr>
      <w:divsChild>
        <w:div w:id="58408201">
          <w:marLeft w:val="0"/>
          <w:marRight w:val="0"/>
          <w:marTop w:val="0"/>
          <w:marBottom w:val="0"/>
          <w:divBdr>
            <w:top w:val="none" w:sz="0" w:space="0" w:color="auto"/>
            <w:left w:val="none" w:sz="0" w:space="0" w:color="auto"/>
            <w:bottom w:val="none" w:sz="0" w:space="0" w:color="auto"/>
            <w:right w:val="none" w:sz="0" w:space="0" w:color="auto"/>
          </w:divBdr>
        </w:div>
        <w:div w:id="583297191">
          <w:marLeft w:val="0"/>
          <w:marRight w:val="0"/>
          <w:marTop w:val="0"/>
          <w:marBottom w:val="0"/>
          <w:divBdr>
            <w:top w:val="none" w:sz="0" w:space="0" w:color="auto"/>
            <w:left w:val="none" w:sz="0" w:space="0" w:color="auto"/>
            <w:bottom w:val="none" w:sz="0" w:space="0" w:color="auto"/>
            <w:right w:val="none" w:sz="0" w:space="0" w:color="auto"/>
          </w:divBdr>
        </w:div>
        <w:div w:id="1955481833">
          <w:marLeft w:val="0"/>
          <w:marRight w:val="0"/>
          <w:marTop w:val="0"/>
          <w:marBottom w:val="0"/>
          <w:divBdr>
            <w:top w:val="none" w:sz="0" w:space="0" w:color="auto"/>
            <w:left w:val="none" w:sz="0" w:space="0" w:color="auto"/>
            <w:bottom w:val="none" w:sz="0" w:space="0" w:color="auto"/>
            <w:right w:val="none" w:sz="0" w:space="0" w:color="auto"/>
          </w:divBdr>
        </w:div>
      </w:divsChild>
    </w:div>
    <w:div w:id="983778398">
      <w:bodyDiv w:val="1"/>
      <w:marLeft w:val="0"/>
      <w:marRight w:val="0"/>
      <w:marTop w:val="0"/>
      <w:marBottom w:val="0"/>
      <w:divBdr>
        <w:top w:val="none" w:sz="0" w:space="0" w:color="auto"/>
        <w:left w:val="none" w:sz="0" w:space="0" w:color="auto"/>
        <w:bottom w:val="none" w:sz="0" w:space="0" w:color="auto"/>
        <w:right w:val="none" w:sz="0" w:space="0" w:color="auto"/>
      </w:divBdr>
      <w:divsChild>
        <w:div w:id="461926486">
          <w:marLeft w:val="0"/>
          <w:marRight w:val="0"/>
          <w:marTop w:val="0"/>
          <w:marBottom w:val="0"/>
          <w:divBdr>
            <w:top w:val="none" w:sz="0" w:space="0" w:color="auto"/>
            <w:left w:val="none" w:sz="0" w:space="0" w:color="auto"/>
            <w:bottom w:val="none" w:sz="0" w:space="0" w:color="auto"/>
            <w:right w:val="none" w:sz="0" w:space="0" w:color="auto"/>
          </w:divBdr>
        </w:div>
        <w:div w:id="1229456183">
          <w:marLeft w:val="0"/>
          <w:marRight w:val="0"/>
          <w:marTop w:val="0"/>
          <w:marBottom w:val="0"/>
          <w:divBdr>
            <w:top w:val="none" w:sz="0" w:space="0" w:color="auto"/>
            <w:left w:val="none" w:sz="0" w:space="0" w:color="auto"/>
            <w:bottom w:val="none" w:sz="0" w:space="0" w:color="auto"/>
            <w:right w:val="none" w:sz="0" w:space="0" w:color="auto"/>
          </w:divBdr>
        </w:div>
        <w:div w:id="1291595535">
          <w:marLeft w:val="0"/>
          <w:marRight w:val="0"/>
          <w:marTop w:val="0"/>
          <w:marBottom w:val="0"/>
          <w:divBdr>
            <w:top w:val="none" w:sz="0" w:space="0" w:color="auto"/>
            <w:left w:val="none" w:sz="0" w:space="0" w:color="auto"/>
            <w:bottom w:val="none" w:sz="0" w:space="0" w:color="auto"/>
            <w:right w:val="none" w:sz="0" w:space="0" w:color="auto"/>
          </w:divBdr>
        </w:div>
        <w:div w:id="1520196402">
          <w:marLeft w:val="0"/>
          <w:marRight w:val="0"/>
          <w:marTop w:val="0"/>
          <w:marBottom w:val="0"/>
          <w:divBdr>
            <w:top w:val="none" w:sz="0" w:space="0" w:color="auto"/>
            <w:left w:val="none" w:sz="0" w:space="0" w:color="auto"/>
            <w:bottom w:val="none" w:sz="0" w:space="0" w:color="auto"/>
            <w:right w:val="none" w:sz="0" w:space="0" w:color="auto"/>
          </w:divBdr>
        </w:div>
      </w:divsChild>
    </w:div>
    <w:div w:id="1102649183">
      <w:bodyDiv w:val="1"/>
      <w:marLeft w:val="0"/>
      <w:marRight w:val="0"/>
      <w:marTop w:val="0"/>
      <w:marBottom w:val="0"/>
      <w:divBdr>
        <w:top w:val="none" w:sz="0" w:space="0" w:color="auto"/>
        <w:left w:val="none" w:sz="0" w:space="0" w:color="auto"/>
        <w:bottom w:val="none" w:sz="0" w:space="0" w:color="auto"/>
        <w:right w:val="none" w:sz="0" w:space="0" w:color="auto"/>
      </w:divBdr>
      <w:divsChild>
        <w:div w:id="1724327643">
          <w:marLeft w:val="0"/>
          <w:marRight w:val="0"/>
          <w:marTop w:val="0"/>
          <w:marBottom w:val="0"/>
          <w:divBdr>
            <w:top w:val="none" w:sz="0" w:space="0" w:color="auto"/>
            <w:left w:val="none" w:sz="0" w:space="0" w:color="auto"/>
            <w:bottom w:val="none" w:sz="0" w:space="0" w:color="auto"/>
            <w:right w:val="none" w:sz="0" w:space="0" w:color="auto"/>
          </w:divBdr>
          <w:divsChild>
            <w:div w:id="886912650">
              <w:marLeft w:val="0"/>
              <w:marRight w:val="0"/>
              <w:marTop w:val="0"/>
              <w:marBottom w:val="0"/>
              <w:divBdr>
                <w:top w:val="none" w:sz="0" w:space="0" w:color="auto"/>
                <w:left w:val="none" w:sz="0" w:space="0" w:color="auto"/>
                <w:bottom w:val="none" w:sz="0" w:space="0" w:color="auto"/>
                <w:right w:val="none" w:sz="0" w:space="0" w:color="auto"/>
              </w:divBdr>
            </w:div>
          </w:divsChild>
        </w:div>
        <w:div w:id="1748378631">
          <w:marLeft w:val="0"/>
          <w:marRight w:val="0"/>
          <w:marTop w:val="0"/>
          <w:marBottom w:val="0"/>
          <w:divBdr>
            <w:top w:val="none" w:sz="0" w:space="0" w:color="auto"/>
            <w:left w:val="none" w:sz="0" w:space="0" w:color="auto"/>
            <w:bottom w:val="none" w:sz="0" w:space="0" w:color="auto"/>
            <w:right w:val="none" w:sz="0" w:space="0" w:color="auto"/>
          </w:divBdr>
          <w:divsChild>
            <w:div w:id="1402870668">
              <w:marLeft w:val="0"/>
              <w:marRight w:val="0"/>
              <w:marTop w:val="0"/>
              <w:marBottom w:val="0"/>
              <w:divBdr>
                <w:top w:val="none" w:sz="0" w:space="0" w:color="auto"/>
                <w:left w:val="none" w:sz="0" w:space="0" w:color="auto"/>
                <w:bottom w:val="none" w:sz="0" w:space="0" w:color="auto"/>
                <w:right w:val="none" w:sz="0" w:space="0" w:color="auto"/>
              </w:divBdr>
              <w:divsChild>
                <w:div w:id="147137921">
                  <w:marLeft w:val="0"/>
                  <w:marRight w:val="0"/>
                  <w:marTop w:val="0"/>
                  <w:marBottom w:val="0"/>
                  <w:divBdr>
                    <w:top w:val="none" w:sz="0" w:space="0" w:color="auto"/>
                    <w:left w:val="none" w:sz="0" w:space="0" w:color="auto"/>
                    <w:bottom w:val="none" w:sz="0" w:space="0" w:color="auto"/>
                    <w:right w:val="none" w:sz="0" w:space="0" w:color="auto"/>
                  </w:divBdr>
                  <w:divsChild>
                    <w:div w:id="924537625">
                      <w:marLeft w:val="0"/>
                      <w:marRight w:val="0"/>
                      <w:marTop w:val="120"/>
                      <w:marBottom w:val="0"/>
                      <w:divBdr>
                        <w:top w:val="none" w:sz="0" w:space="0" w:color="auto"/>
                        <w:left w:val="none" w:sz="0" w:space="0" w:color="auto"/>
                        <w:bottom w:val="none" w:sz="0" w:space="0" w:color="auto"/>
                        <w:right w:val="none" w:sz="0" w:space="0" w:color="auto"/>
                      </w:divBdr>
                    </w:div>
                    <w:div w:id="93284379">
                      <w:marLeft w:val="0"/>
                      <w:marRight w:val="0"/>
                      <w:marTop w:val="0"/>
                      <w:marBottom w:val="0"/>
                      <w:divBdr>
                        <w:top w:val="none" w:sz="0" w:space="0" w:color="auto"/>
                        <w:left w:val="none" w:sz="0" w:space="0" w:color="auto"/>
                        <w:bottom w:val="none" w:sz="0" w:space="0" w:color="auto"/>
                        <w:right w:val="none" w:sz="0" w:space="0" w:color="auto"/>
                      </w:divBdr>
                    </w:div>
                  </w:divsChild>
                </w:div>
                <w:div w:id="917177306">
                  <w:marLeft w:val="0"/>
                  <w:marRight w:val="0"/>
                  <w:marTop w:val="0"/>
                  <w:marBottom w:val="0"/>
                  <w:divBdr>
                    <w:top w:val="none" w:sz="0" w:space="0" w:color="auto"/>
                    <w:left w:val="none" w:sz="0" w:space="0" w:color="auto"/>
                    <w:bottom w:val="none" w:sz="0" w:space="0" w:color="auto"/>
                    <w:right w:val="none" w:sz="0" w:space="0" w:color="auto"/>
                  </w:divBdr>
                  <w:divsChild>
                    <w:div w:id="1488396533">
                      <w:marLeft w:val="0"/>
                      <w:marRight w:val="0"/>
                      <w:marTop w:val="120"/>
                      <w:marBottom w:val="0"/>
                      <w:divBdr>
                        <w:top w:val="none" w:sz="0" w:space="0" w:color="auto"/>
                        <w:left w:val="none" w:sz="0" w:space="0" w:color="auto"/>
                        <w:bottom w:val="none" w:sz="0" w:space="0" w:color="auto"/>
                        <w:right w:val="none" w:sz="0" w:space="0" w:color="auto"/>
                      </w:divBdr>
                    </w:div>
                    <w:div w:id="1735349115">
                      <w:marLeft w:val="0"/>
                      <w:marRight w:val="0"/>
                      <w:marTop w:val="0"/>
                      <w:marBottom w:val="0"/>
                      <w:divBdr>
                        <w:top w:val="none" w:sz="0" w:space="0" w:color="auto"/>
                        <w:left w:val="none" w:sz="0" w:space="0" w:color="auto"/>
                        <w:bottom w:val="none" w:sz="0" w:space="0" w:color="auto"/>
                        <w:right w:val="none" w:sz="0" w:space="0" w:color="auto"/>
                      </w:divBdr>
                    </w:div>
                  </w:divsChild>
                </w:div>
                <w:div w:id="1717315225">
                  <w:marLeft w:val="0"/>
                  <w:marRight w:val="0"/>
                  <w:marTop w:val="0"/>
                  <w:marBottom w:val="0"/>
                  <w:divBdr>
                    <w:top w:val="none" w:sz="0" w:space="0" w:color="auto"/>
                    <w:left w:val="none" w:sz="0" w:space="0" w:color="auto"/>
                    <w:bottom w:val="none" w:sz="0" w:space="0" w:color="auto"/>
                    <w:right w:val="none" w:sz="0" w:space="0" w:color="auto"/>
                  </w:divBdr>
                  <w:divsChild>
                    <w:div w:id="1021124852">
                      <w:marLeft w:val="0"/>
                      <w:marRight w:val="0"/>
                      <w:marTop w:val="120"/>
                      <w:marBottom w:val="0"/>
                      <w:divBdr>
                        <w:top w:val="none" w:sz="0" w:space="0" w:color="auto"/>
                        <w:left w:val="none" w:sz="0" w:space="0" w:color="auto"/>
                        <w:bottom w:val="none" w:sz="0" w:space="0" w:color="auto"/>
                        <w:right w:val="none" w:sz="0" w:space="0" w:color="auto"/>
                      </w:divBdr>
                    </w:div>
                    <w:div w:id="1187208114">
                      <w:marLeft w:val="0"/>
                      <w:marRight w:val="0"/>
                      <w:marTop w:val="0"/>
                      <w:marBottom w:val="0"/>
                      <w:divBdr>
                        <w:top w:val="none" w:sz="0" w:space="0" w:color="auto"/>
                        <w:left w:val="none" w:sz="0" w:space="0" w:color="auto"/>
                        <w:bottom w:val="none" w:sz="0" w:space="0" w:color="auto"/>
                        <w:right w:val="none" w:sz="0" w:space="0" w:color="auto"/>
                      </w:divBdr>
                    </w:div>
                  </w:divsChild>
                </w:div>
                <w:div w:id="1103260738">
                  <w:marLeft w:val="0"/>
                  <w:marRight w:val="0"/>
                  <w:marTop w:val="0"/>
                  <w:marBottom w:val="0"/>
                  <w:divBdr>
                    <w:top w:val="none" w:sz="0" w:space="0" w:color="auto"/>
                    <w:left w:val="none" w:sz="0" w:space="0" w:color="auto"/>
                    <w:bottom w:val="none" w:sz="0" w:space="0" w:color="auto"/>
                    <w:right w:val="none" w:sz="0" w:space="0" w:color="auto"/>
                  </w:divBdr>
                  <w:divsChild>
                    <w:div w:id="1554148369">
                      <w:marLeft w:val="0"/>
                      <w:marRight w:val="0"/>
                      <w:marTop w:val="120"/>
                      <w:marBottom w:val="0"/>
                      <w:divBdr>
                        <w:top w:val="none" w:sz="0" w:space="0" w:color="auto"/>
                        <w:left w:val="none" w:sz="0" w:space="0" w:color="auto"/>
                        <w:bottom w:val="none" w:sz="0" w:space="0" w:color="auto"/>
                        <w:right w:val="none" w:sz="0" w:space="0" w:color="auto"/>
                      </w:divBdr>
                    </w:div>
                    <w:div w:id="1907260553">
                      <w:marLeft w:val="0"/>
                      <w:marRight w:val="0"/>
                      <w:marTop w:val="0"/>
                      <w:marBottom w:val="0"/>
                      <w:divBdr>
                        <w:top w:val="none" w:sz="0" w:space="0" w:color="auto"/>
                        <w:left w:val="none" w:sz="0" w:space="0" w:color="auto"/>
                        <w:bottom w:val="none" w:sz="0" w:space="0" w:color="auto"/>
                        <w:right w:val="none" w:sz="0" w:space="0" w:color="auto"/>
                      </w:divBdr>
                    </w:div>
                  </w:divsChild>
                </w:div>
                <w:div w:id="1050611269">
                  <w:marLeft w:val="0"/>
                  <w:marRight w:val="0"/>
                  <w:marTop w:val="0"/>
                  <w:marBottom w:val="0"/>
                  <w:divBdr>
                    <w:top w:val="none" w:sz="0" w:space="0" w:color="auto"/>
                    <w:left w:val="none" w:sz="0" w:space="0" w:color="auto"/>
                    <w:bottom w:val="none" w:sz="0" w:space="0" w:color="auto"/>
                    <w:right w:val="none" w:sz="0" w:space="0" w:color="auto"/>
                  </w:divBdr>
                  <w:divsChild>
                    <w:div w:id="1292905716">
                      <w:marLeft w:val="0"/>
                      <w:marRight w:val="0"/>
                      <w:marTop w:val="120"/>
                      <w:marBottom w:val="0"/>
                      <w:divBdr>
                        <w:top w:val="none" w:sz="0" w:space="0" w:color="auto"/>
                        <w:left w:val="none" w:sz="0" w:space="0" w:color="auto"/>
                        <w:bottom w:val="none" w:sz="0" w:space="0" w:color="auto"/>
                        <w:right w:val="none" w:sz="0" w:space="0" w:color="auto"/>
                      </w:divBdr>
                    </w:div>
                    <w:div w:id="356666398">
                      <w:marLeft w:val="0"/>
                      <w:marRight w:val="0"/>
                      <w:marTop w:val="0"/>
                      <w:marBottom w:val="0"/>
                      <w:divBdr>
                        <w:top w:val="none" w:sz="0" w:space="0" w:color="auto"/>
                        <w:left w:val="none" w:sz="0" w:space="0" w:color="auto"/>
                        <w:bottom w:val="none" w:sz="0" w:space="0" w:color="auto"/>
                        <w:right w:val="none" w:sz="0" w:space="0" w:color="auto"/>
                      </w:divBdr>
                    </w:div>
                  </w:divsChild>
                </w:div>
                <w:div w:id="1476600299">
                  <w:marLeft w:val="0"/>
                  <w:marRight w:val="0"/>
                  <w:marTop w:val="0"/>
                  <w:marBottom w:val="0"/>
                  <w:divBdr>
                    <w:top w:val="none" w:sz="0" w:space="0" w:color="auto"/>
                    <w:left w:val="none" w:sz="0" w:space="0" w:color="auto"/>
                    <w:bottom w:val="none" w:sz="0" w:space="0" w:color="auto"/>
                    <w:right w:val="none" w:sz="0" w:space="0" w:color="auto"/>
                  </w:divBdr>
                  <w:divsChild>
                    <w:div w:id="1725639781">
                      <w:marLeft w:val="0"/>
                      <w:marRight w:val="0"/>
                      <w:marTop w:val="120"/>
                      <w:marBottom w:val="0"/>
                      <w:divBdr>
                        <w:top w:val="none" w:sz="0" w:space="0" w:color="auto"/>
                        <w:left w:val="none" w:sz="0" w:space="0" w:color="auto"/>
                        <w:bottom w:val="none" w:sz="0" w:space="0" w:color="auto"/>
                        <w:right w:val="none" w:sz="0" w:space="0" w:color="auto"/>
                      </w:divBdr>
                    </w:div>
                    <w:div w:id="549196934">
                      <w:marLeft w:val="0"/>
                      <w:marRight w:val="0"/>
                      <w:marTop w:val="0"/>
                      <w:marBottom w:val="0"/>
                      <w:divBdr>
                        <w:top w:val="none" w:sz="0" w:space="0" w:color="auto"/>
                        <w:left w:val="none" w:sz="0" w:space="0" w:color="auto"/>
                        <w:bottom w:val="none" w:sz="0" w:space="0" w:color="auto"/>
                        <w:right w:val="none" w:sz="0" w:space="0" w:color="auto"/>
                      </w:divBdr>
                    </w:div>
                  </w:divsChild>
                </w:div>
                <w:div w:id="45105823">
                  <w:marLeft w:val="0"/>
                  <w:marRight w:val="0"/>
                  <w:marTop w:val="0"/>
                  <w:marBottom w:val="0"/>
                  <w:divBdr>
                    <w:top w:val="none" w:sz="0" w:space="0" w:color="auto"/>
                    <w:left w:val="none" w:sz="0" w:space="0" w:color="auto"/>
                    <w:bottom w:val="none" w:sz="0" w:space="0" w:color="auto"/>
                    <w:right w:val="none" w:sz="0" w:space="0" w:color="auto"/>
                  </w:divBdr>
                  <w:divsChild>
                    <w:div w:id="1107777481">
                      <w:marLeft w:val="0"/>
                      <w:marRight w:val="0"/>
                      <w:marTop w:val="120"/>
                      <w:marBottom w:val="0"/>
                      <w:divBdr>
                        <w:top w:val="none" w:sz="0" w:space="0" w:color="auto"/>
                        <w:left w:val="none" w:sz="0" w:space="0" w:color="auto"/>
                        <w:bottom w:val="none" w:sz="0" w:space="0" w:color="auto"/>
                        <w:right w:val="none" w:sz="0" w:space="0" w:color="auto"/>
                      </w:divBdr>
                    </w:div>
                    <w:div w:id="1419254789">
                      <w:marLeft w:val="0"/>
                      <w:marRight w:val="0"/>
                      <w:marTop w:val="0"/>
                      <w:marBottom w:val="0"/>
                      <w:divBdr>
                        <w:top w:val="none" w:sz="0" w:space="0" w:color="auto"/>
                        <w:left w:val="none" w:sz="0" w:space="0" w:color="auto"/>
                        <w:bottom w:val="none" w:sz="0" w:space="0" w:color="auto"/>
                        <w:right w:val="none" w:sz="0" w:space="0" w:color="auto"/>
                      </w:divBdr>
                    </w:div>
                  </w:divsChild>
                </w:div>
                <w:div w:id="119107420">
                  <w:marLeft w:val="0"/>
                  <w:marRight w:val="0"/>
                  <w:marTop w:val="0"/>
                  <w:marBottom w:val="0"/>
                  <w:divBdr>
                    <w:top w:val="none" w:sz="0" w:space="0" w:color="auto"/>
                    <w:left w:val="none" w:sz="0" w:space="0" w:color="auto"/>
                    <w:bottom w:val="none" w:sz="0" w:space="0" w:color="auto"/>
                    <w:right w:val="none" w:sz="0" w:space="0" w:color="auto"/>
                  </w:divBdr>
                  <w:divsChild>
                    <w:div w:id="1558590790">
                      <w:marLeft w:val="0"/>
                      <w:marRight w:val="0"/>
                      <w:marTop w:val="120"/>
                      <w:marBottom w:val="0"/>
                      <w:divBdr>
                        <w:top w:val="none" w:sz="0" w:space="0" w:color="auto"/>
                        <w:left w:val="none" w:sz="0" w:space="0" w:color="auto"/>
                        <w:bottom w:val="none" w:sz="0" w:space="0" w:color="auto"/>
                        <w:right w:val="none" w:sz="0" w:space="0" w:color="auto"/>
                      </w:divBdr>
                    </w:div>
                    <w:div w:id="1600216494">
                      <w:marLeft w:val="0"/>
                      <w:marRight w:val="0"/>
                      <w:marTop w:val="0"/>
                      <w:marBottom w:val="0"/>
                      <w:divBdr>
                        <w:top w:val="none" w:sz="0" w:space="0" w:color="auto"/>
                        <w:left w:val="none" w:sz="0" w:space="0" w:color="auto"/>
                        <w:bottom w:val="none" w:sz="0" w:space="0" w:color="auto"/>
                        <w:right w:val="none" w:sz="0" w:space="0" w:color="auto"/>
                      </w:divBdr>
                    </w:div>
                  </w:divsChild>
                </w:div>
                <w:div w:id="474759352">
                  <w:marLeft w:val="0"/>
                  <w:marRight w:val="0"/>
                  <w:marTop w:val="0"/>
                  <w:marBottom w:val="0"/>
                  <w:divBdr>
                    <w:top w:val="none" w:sz="0" w:space="0" w:color="auto"/>
                    <w:left w:val="none" w:sz="0" w:space="0" w:color="auto"/>
                    <w:bottom w:val="none" w:sz="0" w:space="0" w:color="auto"/>
                    <w:right w:val="none" w:sz="0" w:space="0" w:color="auto"/>
                  </w:divBdr>
                  <w:divsChild>
                    <w:div w:id="1070738998">
                      <w:marLeft w:val="0"/>
                      <w:marRight w:val="0"/>
                      <w:marTop w:val="120"/>
                      <w:marBottom w:val="0"/>
                      <w:divBdr>
                        <w:top w:val="none" w:sz="0" w:space="0" w:color="auto"/>
                        <w:left w:val="none" w:sz="0" w:space="0" w:color="auto"/>
                        <w:bottom w:val="none" w:sz="0" w:space="0" w:color="auto"/>
                        <w:right w:val="none" w:sz="0" w:space="0" w:color="auto"/>
                      </w:divBdr>
                    </w:div>
                    <w:div w:id="1529173139">
                      <w:marLeft w:val="0"/>
                      <w:marRight w:val="0"/>
                      <w:marTop w:val="0"/>
                      <w:marBottom w:val="0"/>
                      <w:divBdr>
                        <w:top w:val="none" w:sz="0" w:space="0" w:color="auto"/>
                        <w:left w:val="none" w:sz="0" w:space="0" w:color="auto"/>
                        <w:bottom w:val="none" w:sz="0" w:space="0" w:color="auto"/>
                        <w:right w:val="none" w:sz="0" w:space="0" w:color="auto"/>
                      </w:divBdr>
                    </w:div>
                  </w:divsChild>
                </w:div>
                <w:div w:id="98382120">
                  <w:marLeft w:val="0"/>
                  <w:marRight w:val="0"/>
                  <w:marTop w:val="0"/>
                  <w:marBottom w:val="0"/>
                  <w:divBdr>
                    <w:top w:val="none" w:sz="0" w:space="0" w:color="auto"/>
                    <w:left w:val="none" w:sz="0" w:space="0" w:color="auto"/>
                    <w:bottom w:val="none" w:sz="0" w:space="0" w:color="auto"/>
                    <w:right w:val="none" w:sz="0" w:space="0" w:color="auto"/>
                  </w:divBdr>
                  <w:divsChild>
                    <w:div w:id="1897206201">
                      <w:marLeft w:val="0"/>
                      <w:marRight w:val="0"/>
                      <w:marTop w:val="120"/>
                      <w:marBottom w:val="0"/>
                      <w:divBdr>
                        <w:top w:val="none" w:sz="0" w:space="0" w:color="auto"/>
                        <w:left w:val="none" w:sz="0" w:space="0" w:color="auto"/>
                        <w:bottom w:val="none" w:sz="0" w:space="0" w:color="auto"/>
                        <w:right w:val="none" w:sz="0" w:space="0" w:color="auto"/>
                      </w:divBdr>
                    </w:div>
                    <w:div w:id="2016882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7762863">
          <w:marLeft w:val="0"/>
          <w:marRight w:val="0"/>
          <w:marTop w:val="0"/>
          <w:marBottom w:val="0"/>
          <w:divBdr>
            <w:top w:val="none" w:sz="0" w:space="0" w:color="auto"/>
            <w:left w:val="none" w:sz="0" w:space="0" w:color="auto"/>
            <w:bottom w:val="none" w:sz="0" w:space="0" w:color="auto"/>
            <w:right w:val="none" w:sz="0" w:space="0" w:color="auto"/>
          </w:divBdr>
          <w:divsChild>
            <w:div w:id="862061139">
              <w:marLeft w:val="0"/>
              <w:marRight w:val="0"/>
              <w:marTop w:val="0"/>
              <w:marBottom w:val="0"/>
              <w:divBdr>
                <w:top w:val="none" w:sz="0" w:space="0" w:color="auto"/>
                <w:left w:val="none" w:sz="0" w:space="0" w:color="auto"/>
                <w:bottom w:val="none" w:sz="0" w:space="0" w:color="auto"/>
                <w:right w:val="none" w:sz="0" w:space="0" w:color="auto"/>
              </w:divBdr>
            </w:div>
          </w:divsChild>
        </w:div>
        <w:div w:id="294257476">
          <w:marLeft w:val="0"/>
          <w:marRight w:val="0"/>
          <w:marTop w:val="0"/>
          <w:marBottom w:val="0"/>
          <w:divBdr>
            <w:top w:val="none" w:sz="0" w:space="0" w:color="auto"/>
            <w:left w:val="none" w:sz="0" w:space="0" w:color="auto"/>
            <w:bottom w:val="none" w:sz="0" w:space="0" w:color="auto"/>
            <w:right w:val="none" w:sz="0" w:space="0" w:color="auto"/>
          </w:divBdr>
          <w:divsChild>
            <w:div w:id="100729446">
              <w:marLeft w:val="0"/>
              <w:marRight w:val="0"/>
              <w:marTop w:val="0"/>
              <w:marBottom w:val="0"/>
              <w:divBdr>
                <w:top w:val="none" w:sz="0" w:space="0" w:color="auto"/>
                <w:left w:val="none" w:sz="0" w:space="0" w:color="auto"/>
                <w:bottom w:val="none" w:sz="0" w:space="0" w:color="auto"/>
                <w:right w:val="none" w:sz="0" w:space="0" w:color="auto"/>
              </w:divBdr>
            </w:div>
          </w:divsChild>
        </w:div>
        <w:div w:id="2122721151">
          <w:marLeft w:val="0"/>
          <w:marRight w:val="0"/>
          <w:marTop w:val="0"/>
          <w:marBottom w:val="0"/>
          <w:divBdr>
            <w:top w:val="none" w:sz="0" w:space="0" w:color="auto"/>
            <w:left w:val="none" w:sz="0" w:space="0" w:color="auto"/>
            <w:bottom w:val="none" w:sz="0" w:space="0" w:color="auto"/>
            <w:right w:val="none" w:sz="0" w:space="0" w:color="auto"/>
          </w:divBdr>
          <w:divsChild>
            <w:div w:id="1448428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898278">
      <w:bodyDiv w:val="1"/>
      <w:marLeft w:val="0"/>
      <w:marRight w:val="0"/>
      <w:marTop w:val="0"/>
      <w:marBottom w:val="0"/>
      <w:divBdr>
        <w:top w:val="none" w:sz="0" w:space="0" w:color="auto"/>
        <w:left w:val="none" w:sz="0" w:space="0" w:color="auto"/>
        <w:bottom w:val="none" w:sz="0" w:space="0" w:color="auto"/>
        <w:right w:val="none" w:sz="0" w:space="0" w:color="auto"/>
      </w:divBdr>
      <w:divsChild>
        <w:div w:id="404766479">
          <w:marLeft w:val="0"/>
          <w:marRight w:val="0"/>
          <w:marTop w:val="0"/>
          <w:marBottom w:val="0"/>
          <w:divBdr>
            <w:top w:val="none" w:sz="0" w:space="0" w:color="auto"/>
            <w:left w:val="none" w:sz="0" w:space="0" w:color="auto"/>
            <w:bottom w:val="none" w:sz="0" w:space="0" w:color="auto"/>
            <w:right w:val="none" w:sz="0" w:space="0" w:color="auto"/>
          </w:divBdr>
        </w:div>
        <w:div w:id="1343505224">
          <w:marLeft w:val="0"/>
          <w:marRight w:val="0"/>
          <w:marTop w:val="0"/>
          <w:marBottom w:val="0"/>
          <w:divBdr>
            <w:top w:val="none" w:sz="0" w:space="0" w:color="auto"/>
            <w:left w:val="none" w:sz="0" w:space="0" w:color="auto"/>
            <w:bottom w:val="none" w:sz="0" w:space="0" w:color="auto"/>
            <w:right w:val="none" w:sz="0" w:space="0" w:color="auto"/>
          </w:divBdr>
        </w:div>
        <w:div w:id="1110466242">
          <w:marLeft w:val="0"/>
          <w:marRight w:val="0"/>
          <w:marTop w:val="0"/>
          <w:marBottom w:val="0"/>
          <w:divBdr>
            <w:top w:val="none" w:sz="0" w:space="0" w:color="auto"/>
            <w:left w:val="none" w:sz="0" w:space="0" w:color="auto"/>
            <w:bottom w:val="none" w:sz="0" w:space="0" w:color="auto"/>
            <w:right w:val="none" w:sz="0" w:space="0" w:color="auto"/>
          </w:divBdr>
        </w:div>
        <w:div w:id="15764335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microsoft.com/office/2007/relationships/diagramDrawing" Target="diagrams/drawing1.xml"/><Relationship Id="rId18" Type="http://schemas.openxmlformats.org/officeDocument/2006/relationships/diagramData" Target="diagrams/data2.xml"/><Relationship Id="rId26" Type="http://schemas.openxmlformats.org/officeDocument/2006/relationships/header" Target="header1.xml"/><Relationship Id="rId39" Type="http://schemas.openxmlformats.org/officeDocument/2006/relationships/diagramQuickStyle" Target="diagrams/quickStyle3.xml"/><Relationship Id="rId21" Type="http://schemas.openxmlformats.org/officeDocument/2006/relationships/diagramColors" Target="diagrams/colors2.xml"/><Relationship Id="rId34" Type="http://schemas.openxmlformats.org/officeDocument/2006/relationships/hyperlink" Target="3.02._&#1044;&#1077;&#1082;&#1083;&#1072;&#1088;&#1072;&#1094;&#1080;&#1103;%20&#1079;&#1072;%20&#1083;&#1080;&#1087;&#1089;&#1072;%20&#1085;&#1072;%20&#1082;&#1086;&#1085;&#1092;&#1083;&#1080;&#1082;&#1090;%20&#1085;&#1072;%20&#1080;&#1085;&#1090;&#1077;&#1088;&#1077;&#1089;&#1080;%20&#1080;%20&#1087;&#1086;&#1074;&#1077;&#1088;&#1080;&#1090;&#1077;&#1083;&#1085;&#1086;&#1089;&#1090;.doc" TargetMode="External"/><Relationship Id="rId42" Type="http://schemas.openxmlformats.org/officeDocument/2006/relationships/hyperlink" Target="3.02._&#1044;&#1077;&#1082;&#1083;&#1072;&#1088;&#1072;&#1094;&#1080;&#1103;%20&#1079;&#1072;%20&#1083;&#1080;&#1087;&#1089;&#1072;%20&#1085;&#1072;%20&#1082;&#1086;&#1085;&#1092;&#1083;&#1080;&#1082;&#1090;%20&#1085;&#1072;%20&#1080;&#1085;&#1090;&#1077;&#1088;&#1077;&#1089;&#1080;%20&#1080;%20&#1087;&#1086;&#1074;&#1077;&#1088;&#1080;&#1090;&#1077;&#1083;&#1085;&#1086;&#1089;&#1090;.doc" TargetMode="External"/><Relationship Id="rId47" Type="http://schemas.openxmlformats.org/officeDocument/2006/relationships/hyperlink" Target="3.05._&#1044;&#1086;&#1082;&#1083;&#1072;&#1076;%20&#1079;&#1072;%20&#1080;&#1079;&#1074;&#1098;&#1088;&#1096;&#1077;&#1085;&#1072;%20&#1086;&#1094;&#1077;&#1085;&#1082;&#1072;%20&#1085;&#1072;%20&#1087;&#1088;&#1086;&#1077;&#1082;&#1090;&#1085;&#1086;%20&#1087;&#1088;&#1077;&#1076;&#1083;&#1086;&#1078;&#1077;&#1085;&#1080;&#1077;.docx" TargetMode="External"/><Relationship Id="rId50" Type="http://schemas.openxmlformats.org/officeDocument/2006/relationships/hyperlink" Target="3.06._&#1056;&#1077;&#1096;&#1077;&#1085;&#1080;&#1077;%20&#1079;&#1072;%20&#1086;&#1090;&#1082;&#1072;&#1079;%20&#1079;&#1072;%20&#1087;&#1088;&#1077;&#1076;&#1086;&#1089;&#1090;&#1072;&#1074;&#1103;&#1085;&#1077;%20&#1085;&#1072;%20&#1041;&#1060;&#1055;.docx" TargetMode="External"/><Relationship Id="rId55" Type="http://schemas.openxmlformats.org/officeDocument/2006/relationships/hyperlink" Target="3.05._&#1044;&#1086;&#1082;&#1083;&#1072;&#1076;%20&#1079;&#1072;%20&#1080;&#1079;&#1074;&#1098;&#1088;&#1096;&#1077;&#1085;&#1072;%20&#1086;&#1094;&#1077;&#1085;&#1082;&#1072;%20&#1085;&#1072;%20&#1087;&#1088;&#1086;&#1077;&#1082;&#1090;&#1085;&#1086;%20&#1087;&#1088;&#1077;&#1076;&#1083;&#1086;&#1078;&#1077;&#1085;&#1080;&#1077;.docx" TargetMode="External"/><Relationship Id="rId63" Type="http://schemas.openxmlformats.org/officeDocument/2006/relationships/hyperlink" Target="3.03.4_&#1050;&#1051;%20&#1079;&#1072;%20&#1080;&#1079;&#1074;&#1098;&#1088;&#1096;&#1077;&#1085;&#1072;%20&#1087;&#1088;&#1086;&#1074;&#1077;&#1088;&#1082;&#1072;%20&#1074;%20&#1048;&#1057;&#1059;&#1053;%20&#1079;&#1072;%20&#1083;&#1080;&#1087;&#1089;&#1072;%20&#1085;&#1072;%20&#1076;&#1074;&#1086;&#1081;&#1085;&#1086;%20&#1092;&#1080;&#1085;&#1072;&#1085;&#1089;&#1080;&#1088;&#1072;&#1085;&#1077;.doc" TargetMode="External"/><Relationship Id="rId68" Type="http://schemas.openxmlformats.org/officeDocument/2006/relationships/hyperlink" Target="3.03.2_&#1050;&#1051;%20&#1079;&#1072;%20&#1087;&#1088;&#1077;&#1076;&#1074;&#1072;&#1088;&#1080;&#1090;&#1077;&#1083;&#1085;&#1072;%20&#1086;&#1094;&#1077;&#1085;&#1082;&#1072;%20&#1079;&#1072;%20%20&#1086;&#1087;&#1088;&#1077;&#1076;&#1077;&#1083;&#1103;&#1085;&#1077;%20&#1085;&#1072;&#1083;&#1080;&#1095;&#1080;&#1077;&#1090;&#1086;%20&#1085;&#1072;%20&#1076;&#1098;&#1088;&#1078;&#1072;&#1074;&#1085;&#1072;%20&#1087;&#1086;&#1084;&#1086;&#1097;%20-%20&#1048;&#1079;&#1082;&#1083;&#1102;&#1095;&#1077;&#1085;&#1080;&#1103;.doc" TargetMode="External"/><Relationship Id="rId76" Type="http://schemas.openxmlformats.org/officeDocument/2006/relationships/hyperlink" Target="3.05._&#1044;&#1086;&#1082;&#1083;&#1072;&#1076;%20&#1079;&#1072;%20&#1080;&#1079;&#1074;&#1098;&#1088;&#1096;&#1077;&#1085;&#1072;%20&#1086;&#1094;&#1077;&#1085;&#1082;&#1072;%20&#1085;&#1072;%20&#1087;&#1088;&#1086;&#1077;&#1082;&#1090;&#1085;&#1086;%20&#1087;&#1088;&#1077;&#1076;&#1083;&#1086;&#1078;&#1077;&#1085;&#1080;&#1077;.docx" TargetMode="External"/><Relationship Id="rId84" Type="http://schemas.openxmlformats.org/officeDocument/2006/relationships/hyperlink" Target="3.06._&#1056;&#1077;&#1096;&#1077;&#1085;&#1080;&#1077;%20&#1079;&#1072;%20&#1086;&#1090;&#1082;&#1072;&#1079;%20&#1079;&#1072;%20&#1087;&#1088;&#1077;&#1076;&#1086;&#1089;&#1090;&#1072;&#1074;&#1103;&#1085;&#1077;%20&#1085;&#1072;%20&#1041;&#1060;&#1055;.docx" TargetMode="External"/><Relationship Id="rId89" Type="http://schemas.openxmlformats.org/officeDocument/2006/relationships/hyperlink" Target="3.03.7._&#1050;&#1051;%20%20&#1079;&#1072;%20&#1080;&#1079;&#1074;&#1098;&#1088;&#1096;&#1074;&#1072;&#1085;&#1077;%20&#1085;&#1072;%20&#1087;&#1088;&#1077;&#1076;&#1074;&#1072;&#1088;&#1080;&#1090;&#1077;&#1083;&#1077;&#1085;%20&#1082;&#1086;&#1085;&#1090;&#1088;&#1086;&#1083;%20&#1086;&#1090;%20&#1092;&#1080;&#1085;&#1072;&#1085;&#1089;&#1086;&#1074;&#1080;&#1103;%20&#1082;&#1086;&#1085;&#1090;&#1088;&#1086;&#1083;&#1100;&#1086;&#1088;%20&#1087;&#1088;&#1077;&#1076;&#1080;%20&#1087;&#1086;&#1077;&#1084;&#1072;&#1085;&#1077;%20&#1085;&#1072;%20&#1079;&#1072;&#1076;&#1098;&#1083;&#1078;&#1077;&#1085;&#1080;&#1077;.doc" TargetMode="External"/><Relationship Id="rId7" Type="http://schemas.openxmlformats.org/officeDocument/2006/relationships/endnotes" Target="endnotes.xml"/><Relationship Id="rId71" Type="http://schemas.openxmlformats.org/officeDocument/2006/relationships/hyperlink" Target="file:///C:\Users\Ppavlova\Desktop\PM%202014%20-%202020\&#1043;&#1083;&#1072;&#1074;&#1072;%203%20&#1055;&#1088;&#1086;&#1075;&#1088;&#1072;&#1084;&#1080;&#1088;&#1072;&#1085;&#1077;%20-%20&#1055;&#1088;&#1080;&#1083;&#1086;&#1078;&#1077;&#1085;&#1080;&#1103;\3.09._&#1050;&#1086;&#1085;&#1090;&#1088;&#1086;&#1083;&#1077;&#1085;%20&#1083;&#1080;&#1089;&#1090;%20&#1079;&#1072;%20&#1087;&#1088;&#1086;&#1074;&#1077;&#1088;&#1082;&#1072;%20&#1085;&#1072;%20&#1087;&#1088;&#1086;&#1094;&#1077;&#1076;&#1091;&#1088;&#1072;&#1090;&#1072;%20&#1085;&#1072;%20&#1080;&#1079;&#1074;&#1098;&#1088;&#1096;&#1077;&#1085;&#1072;%20&#1086;&#1094;&#1077;&#1085;&#1082;&#1072;%20&#1085;&#1072;%20&#1087;&#1088;&#1086;&#1077;&#1082;&#1090;&#1085;&#1086;%20&#1087;&#1088;&#1077;&#1076;&#1083;&#1086;&#1078;&#1077;&#1085;&#1080;&#1077;.docx" TargetMode="External"/><Relationship Id="rId92" Type="http://schemas.openxmlformats.org/officeDocument/2006/relationships/hyperlink" Target="3.09._&#1055;&#1080;&#1089;&#1084;&#1086;%20&#1079;&#1072;%20&#1087;&#1088;&#1086;&#1084;&#1103;&#1085;&#1072;%20&#1085;&#1072;%20&#1076;&#1086;&#1075;&#1086;&#1074;&#1086;&#1088;%20&#1079;&#1072;%20&#1087;&#1088;&#1077;&#1076;&#1086;&#1089;&#1090;&#1072;&#1074;&#1103;&#1085;&#1077;%20&#1085;&#1072;%20&#1073;&#1077;&#1079;&#1074;&#1098;&#1079;&#1084;&#1077;&#1079;&#1076;&#1085;&#1072;%20&#1092;&#1080;&#1085;&#1072;&#1085;&#1089;&#1086;&#1074;&#1072;%20&#1087;&#1086;&#1084;&#1086;&#1097;.docx" TargetMode="External"/><Relationship Id="rId2" Type="http://schemas.openxmlformats.org/officeDocument/2006/relationships/numbering" Target="numbering.xml"/><Relationship Id="rId16" Type="http://schemas.openxmlformats.org/officeDocument/2006/relationships/hyperlink" Target="http://www.eufunds.bg" TargetMode="External"/><Relationship Id="rId29" Type="http://schemas.openxmlformats.org/officeDocument/2006/relationships/hyperlink" Target="http://www.eufunds.bg" TargetMode="External"/><Relationship Id="rId11" Type="http://schemas.openxmlformats.org/officeDocument/2006/relationships/diagramQuickStyle" Target="diagrams/quickStyle1.xml"/><Relationship Id="rId24" Type="http://schemas.openxmlformats.org/officeDocument/2006/relationships/package" Target="embeddings/Microsoft_PowerPoint_Presentation.pptx"/><Relationship Id="rId32" Type="http://schemas.openxmlformats.org/officeDocument/2006/relationships/hyperlink" Target="3.01._&#1056;&#1077;&#1096;&#1077;&#1085;&#1080;&#1077;%20&#1079;&#1072;%20&#1054;&#1094;&#1077;&#1085;&#1080;&#1090;&#1077;&#1083;&#1085;&#1072;%20&#1082;&#1086;&#1084;&#1080;&#1089;&#1080;&#1103;.doc" TargetMode="External"/><Relationship Id="rId37" Type="http://schemas.openxmlformats.org/officeDocument/2006/relationships/diagramData" Target="diagrams/data3.xml"/><Relationship Id="rId40" Type="http://schemas.openxmlformats.org/officeDocument/2006/relationships/diagramColors" Target="diagrams/colors3.xml"/><Relationship Id="rId45" Type="http://schemas.openxmlformats.org/officeDocument/2006/relationships/hyperlink" Target="3.03.3_&#1050;&#1086;&#1085;&#1090;&#1088;&#1086;&#1083;&#1077;&#1085;%20&#1083;&#1080;&#1089;&#1090;%20&#1079;&#1072;%20&#1087;&#1088;&#1077;&#1076;&#1074;&#1072;&#1088;&#1080;&#1090;&#1077;&#1083;&#1085;&#1072;%20&#1086;&#1094;&#1077;&#1085;&#1082;&#1072;%20&#1079;&#1072;%20&#1086;&#1087;&#1088;&#1077;&#1076;&#1077;&#1083;&#1103;&#1085;&#1077;%20&#1085;&#1072;%20&#1087;&#1088;&#1080;&#1083;&#1086;&#1078;&#1080;&#1084;%20&#1082;&#1098;&#1084;%20&#1084;&#1103;&#1088;&#1082;&#1072;&#1090;&#1072;%20&#1088;&#1077;&#1078;&#1080;&#1084;%20&#1085;&#1072;%20&#1089;&#1098;&#1074;&#1084;&#1077;&#1089;&#1090;&#1080;&#1084;&#1072;%20&#1076;&#1098;&#1088;&#1078;&#1072;&#1074;&#1085;&#1072;%20&#1087;&#1086;&#1084;&#1086;&#1097;.doc" TargetMode="External"/><Relationship Id="rId53" Type="http://schemas.openxmlformats.org/officeDocument/2006/relationships/hyperlink" Target="3.03.3_&#1050;&#1086;&#1085;&#1090;&#1088;&#1086;&#1083;&#1077;&#1085;%20&#1083;&#1080;&#1089;&#1090;%20&#1079;&#1072;%20&#1087;&#1088;&#1077;&#1076;&#1074;&#1072;&#1088;&#1080;&#1090;&#1077;&#1083;&#1085;&#1072;%20&#1086;&#1094;&#1077;&#1085;&#1082;&#1072;%20&#1079;&#1072;%20&#1086;&#1087;&#1088;&#1077;&#1076;&#1077;&#1083;&#1103;&#1085;&#1077;%20&#1085;&#1072;%20&#1087;&#1088;&#1080;&#1083;&#1086;&#1078;&#1080;&#1084;%20&#1082;&#1098;&#1084;%20&#1084;&#1103;&#1088;&#1082;&#1072;&#1090;&#1072;%20&#1088;&#1077;&#1078;&#1080;&#1084;%20&#1085;&#1072;%20&#1089;&#1098;&#1074;&#1084;&#1077;&#1089;&#1090;&#1080;&#1084;&#1072;%20&#1076;&#1098;&#1088;&#1078;&#1072;&#1074;&#1085;&#1072;%20&#1087;&#1086;&#1084;&#1086;&#1097;.doc" TargetMode="External"/><Relationship Id="rId58" Type="http://schemas.openxmlformats.org/officeDocument/2006/relationships/hyperlink" Target="3.03.1_&#1050;&#1051;%20&#1079;&#1072;%20&#1087;&#1088;&#1086;&#1074;&#1077;&#1088;&#1082;&#1072;%20&#1085;&#1072;%20&#1095;&#1083;&#1077;&#1085;&#1086;&#1074;&#1077;&#1090;&#1077;%20&#1085;&#1072;%20&#1086;&#1094;&#1077;&#1085;&#1080;&#1090;&#1077;&#1083;&#1085;&#1072;&#1090;&#1072;%20&#1082;&#1086;&#1084;&#1080;&#1089;&#1080;&#1103;%20&#1079;&#1072;%20&#1083;&#1080;&#1087;&#1089;&#1072;%20&#1085;&#1072;%20&#1050;&#1086;&#1085;&#1092;&#1083;&#1080;&#1082;&#1090;%20&#1085;&#1072;%20&#1080;&#1085;&#1090;&#1077;&#1088;&#1077;&#1089;&#1080;.doc" TargetMode="External"/><Relationship Id="rId66" Type="http://schemas.openxmlformats.org/officeDocument/2006/relationships/hyperlink" Target="3.05._&#1044;&#1086;&#1082;&#1083;&#1072;&#1076;%20&#1079;&#1072;%20&#1080;&#1079;&#1074;&#1098;&#1088;&#1096;&#1077;&#1085;&#1072;%20&#1086;&#1094;&#1077;&#1085;&#1082;&#1072;%20&#1085;&#1072;%20&#1087;&#1088;&#1086;&#1077;&#1082;&#1090;&#1085;&#1086;%20&#1087;&#1088;&#1077;&#1076;&#1083;&#1086;&#1078;&#1077;&#1085;&#1080;&#1077;.docx" TargetMode="External"/><Relationship Id="rId74" Type="http://schemas.openxmlformats.org/officeDocument/2006/relationships/hyperlink" Target="3.02._&#1044;&#1077;&#1082;&#1083;&#1072;&#1088;&#1072;&#1094;&#1080;&#1103;%20&#1079;&#1072;%20&#1083;&#1080;&#1087;&#1089;&#1072;%20&#1085;&#1072;%20&#1082;&#1086;&#1085;&#1092;&#1083;&#1080;&#1082;&#1090;%20&#1085;&#1072;%20&#1080;&#1085;&#1090;&#1077;&#1088;&#1077;&#1089;&#1080;%20&#1080;%20&#1087;&#1086;&#1074;&#1077;&#1088;&#1080;&#1090;&#1077;&#1083;&#1085;&#1086;&#1089;&#1090;.doc" TargetMode="External"/><Relationship Id="rId79" Type="http://schemas.openxmlformats.org/officeDocument/2006/relationships/hyperlink" Target="file:///C:\Users\Sgotzov\AppData\Local\Microsoft\Windows\INetCache\Content.Outlook\0QLPQ679\&#1043;&#1083;&#1072;&#1074;&#1072;%202%20&#1044;&#1098;&#1088;&#1078;&#1072;&#1074;&#1085;&#1080;%20&#1087;&#1086;&#1084;&#1086;&#1097;&#1080;%20-%20&#1055;&#1088;&#1080;&#1083;&#1086;&#1078;&#1077;&#1085;&#1080;&#1103;\2.03._&#1050;&#1086;&#1085;&#1090;&#1088;&#1086;&#1083;&#1077;&#1085;%20&#1083;&#1080;&#1089;&#1090;%20&#1079;&#1072;%20&#1087;&#1088;&#1077;&#1076;&#1074;&#1072;&#1088;&#1080;&#1090;&#1077;&#1083;&#1085;&#1072;%20&#1086;&#1094;&#1077;&#1085;&#1082;&#1072;%20&#1079;&#1072;%20&#1086;&#1087;&#1088;&#1077;&#1076;&#1077;&#1083;&#1103;&#1085;&#1077;%20&#1085;&#1072;%20&#1087;&#1088;&#1080;&#1083;&#1086;&#1078;&#1080;&#1084;%20&#1082;&#1098;&#1084;%20&#1084;&#1103;&#1088;&#1082;&#1072;&#1090;&#1072;%20&#1088;&#1077;&#1078;&#1080;&#1084;%20&#1085;&#1072;%20&#1089;&#1098;&#1074;&#1084;&#1077;&#1089;&#1090;&#1080;&#1084;&#1072;%20&#1076;&#1098;&#1088;&#1078;&#1072;&#1074;&#1085;&#1072;%20&#1087;&#1086;&#1084;&#1086;&#1097;.doc" TargetMode="External"/><Relationship Id="rId87" Type="http://schemas.openxmlformats.org/officeDocument/2006/relationships/hyperlink" Target="file:///\\MTITC-FP03\OPTransport\public\DGIvanova\2021-2027\&#1055;&#1088;&#1086;&#1094;&#1077;&#1076;&#1091;&#1088;&#1077;&#1085;%20&#1085;&#1072;&#1088;&#1098;&#1095;&#1085;&#1080;&#1082;\30102023\&#1043;&#1051;&#1040;&#1042;&#1040;%203%20&#1055;&#1056;&#1054;&#1043;&#1056;&#1040;&#1052;&#1048;&#1056;&#1040;&#1053;&#1045;\3.07_&#1040;&#1076;&#1084;&#1080;&#1085;&#1080;&#1089;&#1090;&#1088;&#1072;&#1090;&#1080;&#1074;&#1077;&#1085;%20&#1076;&#1086;&#1075;&#1086;&#1074;&#1086;&#1088;%20&#1079;&#1072;%20&#1087;&#1088;&#1077;&#1076;&#1086;&#1089;&#1090;&#1072;&#1074;&#1103;&#1085;&#1077;%20&#1085;&#1072;%20&#1041;&#1060;&#1055;.doc" TargetMode="External"/><Relationship Id="rId5" Type="http://schemas.openxmlformats.org/officeDocument/2006/relationships/webSettings" Target="webSettings.xml"/><Relationship Id="rId61" Type="http://schemas.openxmlformats.org/officeDocument/2006/relationships/hyperlink" Target="3.03.5._&#1050;&#1051;%20&#1079;&#1072;%20&#1087;&#1088;&#1086;&#1074;&#1077;&#1088;&#1082;&#1072;%20&#1085;&#1072;%20&#1087;&#1088;&#1086;&#1094;&#1077;&#1076;&#1091;&#1088;&#1072;&#1090;&#1072;%20&#1085;&#1072;%20&#1080;&#1079;&#1074;&#1098;&#1088;&#1096;&#1077;&#1085;&#1072;%20&#1086;&#1094;&#1077;&#1085;&#1082;&#1072;%20&#1085;&#1072;%20&#1087;&#1088;&#1086;&#1077;&#1082;&#1090;&#1085;&#1086;%20&#1087;&#1088;&#1077;&#1076;&#1083;&#1086;&#1078;&#1077;&#1085;&#1080;&#1077;.docx" TargetMode="External"/><Relationship Id="rId82" Type="http://schemas.openxmlformats.org/officeDocument/2006/relationships/hyperlink" Target="3.05._&#1044;&#1086;&#1082;&#1083;&#1072;&#1076;%20&#1079;&#1072;%20&#1080;&#1079;&#1074;&#1098;&#1088;&#1096;&#1077;&#1085;&#1072;%20&#1086;&#1094;&#1077;&#1085;&#1082;&#1072;%20&#1085;&#1072;%20&#1087;&#1088;&#1086;&#1077;&#1082;&#1090;&#1085;&#1086;%20&#1087;&#1088;&#1077;&#1076;&#1083;&#1086;&#1078;&#1077;&#1085;&#1080;&#1077;.docx" TargetMode="External"/><Relationship Id="rId90" Type="http://schemas.openxmlformats.org/officeDocument/2006/relationships/hyperlink" Target="3.03.7._&#1050;&#1051;%20%20&#1079;&#1072;%20&#1080;&#1079;&#1074;&#1098;&#1088;&#1096;&#1074;&#1072;&#1085;&#1077;%20&#1085;&#1072;%20&#1087;&#1088;&#1077;&#1076;&#1074;&#1072;&#1088;&#1080;&#1090;&#1077;&#1083;&#1077;&#1085;%20&#1082;&#1086;&#1085;&#1090;&#1088;&#1086;&#1083;%20&#1086;&#1090;%20&#1092;&#1080;&#1085;&#1072;&#1085;&#1089;&#1086;&#1074;&#1080;&#1103;%20&#1082;&#1086;&#1085;&#1090;&#1088;&#1086;&#1083;&#1100;&#1086;&#1088;%20&#1087;&#1088;&#1077;&#1076;&#1080;%20&#1087;&#1086;&#1077;&#1084;&#1072;&#1085;&#1077;%20&#1085;&#1072;%20&#1079;&#1072;&#1076;&#1098;&#1083;&#1078;&#1077;&#1085;&#1080;&#1077;.doc" TargetMode="External"/><Relationship Id="rId19" Type="http://schemas.openxmlformats.org/officeDocument/2006/relationships/diagramLayout" Target="diagrams/layout2.xml"/><Relationship Id="rId14" Type="http://schemas.openxmlformats.org/officeDocument/2006/relationships/hyperlink" Target="http://www.optransport.bg" TargetMode="External"/><Relationship Id="rId22" Type="http://schemas.microsoft.com/office/2007/relationships/diagramDrawing" Target="diagrams/drawing2.xml"/><Relationship Id="rId27" Type="http://schemas.openxmlformats.org/officeDocument/2006/relationships/footer" Target="footer1.xml"/><Relationship Id="rId30" Type="http://schemas.openxmlformats.org/officeDocument/2006/relationships/hyperlink" Target="http://www.eufunds.bg/" TargetMode="External"/><Relationship Id="rId35" Type="http://schemas.openxmlformats.org/officeDocument/2006/relationships/hyperlink" Target="3.03.1_&#1050;&#1086;&#1085;&#1090;&#1088;&#1086;&#1083;&#1077;&#1085;%20&#1083;&#1080;&#1089;&#1090;%20&#1079;&#1072;%20&#1087;&#1088;&#1086;&#1074;&#1077;&#1088;&#1082;&#1072;%20&#1085;&#1072;%20&#1095;&#1083;&#1077;&#1085;&#1086;&#1074;&#1077;&#1090;&#1077;%20&#1085;&#1072;%20&#1086;&#1094;&#1077;&#1085;&#1080;&#1090;&#1077;&#1083;&#1085;&#1072;&#1090;&#1072;%20&#1082;&#1086;&#1084;&#1080;&#1089;&#1080;&#1103;%20&#1079;&#1072;%20&#1083;&#1080;&#1087;&#1089;&#1072;%20&#1085;&#1072;%20&#1050;&#1086;&#1085;&#1092;&#1083;&#1080;&#1082;&#1090;%20&#1085;&#1072;%20&#1080;&#1085;&#1090;&#1077;&#1088;&#1077;&#1089;&#1080;.doc" TargetMode="External"/><Relationship Id="rId43" Type="http://schemas.openxmlformats.org/officeDocument/2006/relationships/hyperlink" Target="3.03.1_&#1050;&#1086;&#1085;&#1090;&#1088;&#1086;&#1083;&#1077;&#1085;%20&#1083;&#1080;&#1089;&#1090;%20&#1079;&#1072;%20&#1087;&#1088;&#1086;&#1074;&#1077;&#1088;&#1082;&#1072;%20&#1085;&#1072;%20&#1095;&#1083;&#1077;&#1085;&#1086;&#1074;&#1077;&#1090;&#1077;%20&#1085;&#1072;%20&#1086;&#1094;&#1077;&#1085;&#1080;&#1090;&#1077;&#1083;&#1085;&#1072;&#1090;&#1072;%20&#1082;&#1086;&#1084;&#1080;&#1089;&#1080;&#1103;%20&#1079;&#1072;%20&#1083;&#1080;&#1087;&#1089;&#1072;%20&#1085;&#1072;%20&#1050;&#1086;&#1085;&#1092;&#1083;&#1080;&#1082;&#1090;%20&#1085;&#1072;%20&#1080;&#1085;&#1090;&#1077;&#1088;&#1077;&#1089;&#1080;.doc" TargetMode="External"/><Relationship Id="rId48" Type="http://schemas.openxmlformats.org/officeDocument/2006/relationships/hyperlink" Target="3.03.5._&#1050;&#1086;&#1085;&#1090;&#1088;&#1086;&#1083;&#1077;&#1085;%20&#1083;&#1080;&#1089;&#1090;%20&#1079;&#1072;%20&#1087;&#1088;&#1086;&#1074;&#1077;&#1088;&#1082;&#1072;%20&#1085;&#1072;%20&#1087;&#1088;&#1086;&#1094;&#1077;&#1076;&#1091;&#1088;&#1072;&#1090;&#1072;%20&#1085;&#1072;%20&#1080;&#1079;&#1074;&#1098;&#1088;&#1096;&#1077;&#1085;&#1072;%20&#1086;&#1094;&#1077;&#1085;&#1082;&#1072;%20&#1085;&#1072;%20&#1087;&#1088;&#1086;&#1077;&#1082;&#1090;&#1085;&#1086;%20&#1087;&#1088;&#1077;&#1076;&#1083;&#1086;&#1078;&#1077;&#1085;&#1080;&#1077;.docx" TargetMode="External"/><Relationship Id="rId56" Type="http://schemas.openxmlformats.org/officeDocument/2006/relationships/hyperlink" Target="3.03.5._&#1050;&#1051;%20&#1079;&#1072;%20&#1087;&#1088;&#1086;&#1074;&#1077;&#1088;&#1082;&#1072;%20&#1085;&#1072;%20&#1087;&#1088;&#1086;&#1094;&#1077;&#1076;&#1091;&#1088;&#1072;&#1090;&#1072;%20&#1085;&#1072;%20&#1080;&#1079;&#1074;&#1098;&#1088;&#1096;&#1077;&#1085;&#1072;%20&#1086;&#1094;&#1077;&#1085;&#1082;&#1072;%20&#1085;&#1072;%20&#1087;&#1088;&#1086;&#1077;&#1082;&#1090;&#1085;&#1086;%20&#1087;&#1088;&#1077;&#1076;&#1083;&#1086;&#1078;&#1077;&#1085;&#1080;&#1077;.docx" TargetMode="External"/><Relationship Id="rId64" Type="http://schemas.openxmlformats.org/officeDocument/2006/relationships/hyperlink" Target="3.05._&#1044;&#1086;&#1082;&#1083;&#1072;&#1076;%20&#1079;&#1072;%20&#1080;&#1079;&#1074;&#1098;&#1088;&#1096;&#1077;&#1085;&#1072;%20&#1086;&#1094;&#1077;&#1085;&#1082;&#1072;%20&#1085;&#1072;%20&#1087;&#1088;&#1086;&#1077;&#1082;&#1090;&#1085;&#1086;%20&#1087;&#1088;&#1077;&#1076;&#1083;&#1086;&#1078;&#1077;&#1085;&#1080;&#1077;.docx" TargetMode="External"/><Relationship Id="rId69" Type="http://schemas.openxmlformats.org/officeDocument/2006/relationships/hyperlink" Target="3.03.3_&#1050;&#1051;%20&#1079;&#1072;%20&#1087;&#1088;&#1077;&#1076;&#1074;&#1072;&#1088;&#1080;&#1090;&#1077;&#1083;&#1085;&#1072;%20&#1086;&#1094;&#1077;&#1085;&#1082;&#1072;%20&#1079;&#1072;%20&#1086;&#1087;&#1088;&#1077;&#1076;&#1077;&#1083;&#1103;&#1085;&#1077;%20&#1085;&#1072;%20&#1087;&#1088;&#1080;&#1083;&#1086;&#1078;&#1080;&#1084;%20&#1082;&#1098;&#1084;%20&#1084;&#1103;&#1088;&#1082;&#1072;&#1090;&#1072;%20&#1088;&#1077;&#1078;&#1080;&#1084;%20&#1085;&#1072;%20&#1089;&#1098;&#1074;&#1084;&#1077;&#1089;&#1090;&#1080;&#1084;&#1072;%20&#1076;&#1098;&#1088;&#1078;&#1072;&#1074;&#1085;&#1072;%20&#1087;&#1086;&#1084;&#1086;&#1097;.doc" TargetMode="External"/><Relationship Id="rId77" Type="http://schemas.openxmlformats.org/officeDocument/2006/relationships/hyperlink" Target="3.03.4_&#1050;&#1051;%20&#1079;&#1072;%20&#1080;&#1079;&#1074;&#1098;&#1088;&#1096;&#1077;&#1085;&#1072;%20&#1087;&#1088;&#1086;&#1074;&#1077;&#1088;&#1082;&#1072;%20&#1074;%20&#1048;&#1057;&#1059;&#1053;%20&#1079;&#1072;%20&#1083;&#1080;&#1087;&#1089;&#1072;%20&#1085;&#1072;%20&#1076;&#1074;&#1086;&#1081;&#1085;&#1086;%20&#1092;&#1080;&#1085;&#1072;&#1085;&#1089;&#1080;&#1088;&#1072;&#1085;&#1077;.doc" TargetMode="External"/><Relationship Id="rId8" Type="http://schemas.openxmlformats.org/officeDocument/2006/relationships/hyperlink" Target="https://eur-lex.europa.eu/legal-content/BG/AUTO/?uri=celex:32021R1058" TargetMode="External"/><Relationship Id="rId51" Type="http://schemas.openxmlformats.org/officeDocument/2006/relationships/hyperlink" Target="3.03.1_&#1050;&#1086;&#1085;&#1090;&#1088;&#1086;&#1083;&#1077;&#1085;%20&#1083;&#1080;&#1089;&#1090;%20&#1079;&#1072;%20&#1087;&#1088;&#1086;&#1074;&#1077;&#1088;&#1082;&#1072;%20&#1085;&#1072;%20&#1095;&#1083;&#1077;&#1085;&#1086;&#1074;&#1077;&#1090;&#1077;%20&#1085;&#1072;%20&#1086;&#1094;&#1077;&#1085;&#1080;&#1090;&#1077;&#1083;&#1085;&#1072;&#1090;&#1072;%20&#1082;&#1086;&#1084;&#1080;&#1089;&#1080;&#1103;%20&#1079;&#1072;%20&#1083;&#1080;&#1087;&#1089;&#1072;%20&#1085;&#1072;%20&#1050;&#1086;&#1085;&#1092;&#1083;&#1080;&#1082;&#1090;%20&#1085;&#1072;%20&#1080;&#1085;&#1090;&#1077;&#1088;&#1077;&#1089;&#1080;.doc" TargetMode="External"/><Relationship Id="rId72" Type="http://schemas.openxmlformats.org/officeDocument/2006/relationships/hyperlink" Target="3.01._&#1056;&#1077;&#1096;&#1077;&#1085;&#1080;&#1077;%20&#1079;&#1072;%20&#1054;&#1094;&#1077;&#1085;&#1080;&#1090;&#1077;&#1083;&#1085;&#1072;%20&#1082;&#1086;&#1084;&#1080;&#1089;&#1080;&#1103;.doc" TargetMode="External"/><Relationship Id="rId80" Type="http://schemas.openxmlformats.org/officeDocument/2006/relationships/hyperlink" Target="3.03.5._&#1050;&#1051;%20&#1079;&#1072;%20&#1087;&#1088;&#1086;&#1074;&#1077;&#1088;&#1082;&#1072;%20&#1085;&#1072;%20&#1087;&#1088;&#1086;&#1094;&#1077;&#1076;&#1091;&#1088;&#1072;&#1090;&#1072;%20&#1085;&#1072;%20&#1080;&#1079;&#1074;&#1098;&#1088;&#1096;&#1077;&#1085;&#1072;%20&#1086;&#1094;&#1077;&#1085;&#1082;&#1072;%20&#1085;&#1072;%20&#1087;&#1088;&#1086;&#1077;&#1082;&#1090;&#1085;&#1086;%20&#1087;&#1088;&#1077;&#1076;&#1083;&#1086;&#1078;&#1077;&#1085;&#1080;&#1077;.docx" TargetMode="External"/><Relationship Id="rId85" Type="http://schemas.openxmlformats.org/officeDocument/2006/relationships/hyperlink" Target="3.07_&#1040;&#1076;&#1084;&#1080;&#1085;&#1080;&#1089;&#1090;&#1088;&#1072;&#1090;&#1080;&#1074;&#1077;&#1085;%20&#1076;&#1086;&#1075;&#1086;&#1074;&#1086;&#1088;%20&#1079;&#1072;%20&#1087;&#1088;&#1077;&#1076;&#1086;&#1089;&#1090;&#1072;&#1074;&#1103;&#1085;&#1077;%20&#1085;&#1072;%20&#1041;&#1060;&#1055;.doc" TargetMode="External"/><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diagramColors" Target="diagrams/colors1.xml"/><Relationship Id="rId17" Type="http://schemas.openxmlformats.org/officeDocument/2006/relationships/hyperlink" Target="file:///C:\Users\Schobanov\Desktop\&#1053;&#1072;&#1088;&#1098;&#1095;&#1085;&#1080;&#1082;%204.0\www.eufunds.bg" TargetMode="External"/><Relationship Id="rId25" Type="http://schemas.openxmlformats.org/officeDocument/2006/relationships/hyperlink" Target="http://www.eufunds.bg" TargetMode="External"/><Relationship Id="rId33" Type="http://schemas.openxmlformats.org/officeDocument/2006/relationships/hyperlink" Target="3.02._&#1044;&#1077;&#1082;&#1083;&#1072;&#1088;&#1072;&#1094;&#1080;&#1103;%20&#1079;&#1072;%20&#1083;&#1080;&#1087;&#1089;&#1072;%20&#1085;&#1072;%20&#1082;&#1086;&#1085;&#1092;&#1083;&#1080;&#1082;&#1090;%20&#1085;&#1072;%20&#1080;&#1085;&#1090;&#1077;&#1088;&#1077;&#1089;&#1080;%20&#1080;%20&#1087;&#1086;&#1074;&#1077;&#1088;&#1080;&#1090;&#1077;&#1083;&#1085;&#1086;&#1089;&#1090;.doc" TargetMode="External"/><Relationship Id="rId38" Type="http://schemas.openxmlformats.org/officeDocument/2006/relationships/diagramLayout" Target="diagrams/layout3.xml"/><Relationship Id="rId46" Type="http://schemas.openxmlformats.org/officeDocument/2006/relationships/hyperlink" Target="3.03.4_&#1050;&#1086;&#1085;&#1090;&#1088;&#1086;&#1083;&#1077;&#1085;%20&#1083;&#1080;&#1089;&#1090;%20&#1079;&#1072;%20&#1080;&#1079;&#1074;&#1098;&#1088;&#1096;&#1077;&#1085;&#1072;%20&#1087;&#1088;&#1086;&#1074;&#1077;&#1088;&#1082;&#1072;%20&#1074;%20&#1048;&#1057;&#1059;&#1053;%20&#1079;&#1072;%20&#1083;&#1080;&#1087;&#1089;&#1072;%20&#1085;&#1072;%20&#1076;&#1074;&#1086;&#1081;&#1085;&#1086;%20&#1092;&#1080;&#1085;&#1072;&#1085;&#1089;&#1080;&#1088;&#1072;&#1085;&#1077;.doc" TargetMode="External"/><Relationship Id="rId59" Type="http://schemas.openxmlformats.org/officeDocument/2006/relationships/hyperlink" Target="3.03.4_&#1050;&#1051;%20&#1079;&#1072;%20&#1080;&#1079;&#1074;&#1098;&#1088;&#1096;&#1077;&#1085;&#1072;%20&#1087;&#1088;&#1086;&#1074;&#1077;&#1088;&#1082;&#1072;%20&#1074;%20&#1048;&#1057;&#1059;&#1053;%20&#1079;&#1072;%20&#1083;&#1080;&#1087;&#1089;&#1072;%20&#1085;&#1072;%20&#1076;&#1074;&#1086;&#1081;&#1085;&#1086;%20&#1092;&#1080;&#1085;&#1072;&#1085;&#1089;&#1080;&#1088;&#1072;&#1085;&#1077;.doc" TargetMode="External"/><Relationship Id="rId67" Type="http://schemas.openxmlformats.org/officeDocument/2006/relationships/hyperlink" Target="3.03.1_&#1050;&#1051;%20&#1079;&#1072;%20&#1087;&#1088;&#1086;&#1074;&#1077;&#1088;&#1082;&#1072;%20&#1085;&#1072;%20&#1095;&#1083;&#1077;&#1085;&#1086;&#1074;&#1077;&#1090;&#1077;%20&#1085;&#1072;%20&#1086;&#1094;&#1077;&#1085;&#1080;&#1090;&#1077;&#1083;&#1085;&#1072;&#1090;&#1072;%20&#1082;&#1086;&#1084;&#1080;&#1089;&#1080;&#1103;%20&#1079;&#1072;%20&#1083;&#1080;&#1087;&#1089;&#1072;%20&#1085;&#1072;%20&#1050;&#1086;&#1085;&#1092;&#1083;&#1080;&#1082;&#1090;%20&#1085;&#1072;%20&#1080;&#1085;&#1090;&#1077;&#1088;&#1077;&#1089;&#1080;.doc" TargetMode="External"/><Relationship Id="rId20" Type="http://schemas.openxmlformats.org/officeDocument/2006/relationships/diagramQuickStyle" Target="diagrams/quickStyle2.xml"/><Relationship Id="rId41" Type="http://schemas.microsoft.com/office/2007/relationships/diagramDrawing" Target="diagrams/drawing3.xml"/><Relationship Id="rId54" Type="http://schemas.openxmlformats.org/officeDocument/2006/relationships/hyperlink" Target="3.03.4_&#1050;&#1086;&#1085;&#1090;&#1088;&#1086;&#1083;&#1077;&#1085;%20&#1083;&#1080;&#1089;&#1090;%20&#1079;&#1072;%20&#1080;&#1079;&#1074;&#1098;&#1088;&#1096;&#1077;&#1085;&#1072;%20&#1087;&#1088;&#1086;&#1074;&#1077;&#1088;&#1082;&#1072;%20&#1074;%20&#1048;&#1057;&#1059;&#1053;%20&#1079;&#1072;%20&#1083;&#1080;&#1087;&#1089;&#1072;%20&#1085;&#1072;%20&#1076;&#1074;&#1086;&#1081;&#1085;&#1086;%20&#1092;&#1080;&#1085;&#1072;&#1085;&#1089;&#1080;&#1088;&#1072;&#1085;&#1077;.doc" TargetMode="External"/><Relationship Id="rId62" Type="http://schemas.openxmlformats.org/officeDocument/2006/relationships/hyperlink" Target="3.03.4_&#1050;&#1051;%20&#1079;&#1072;%20&#1080;&#1079;&#1074;&#1098;&#1088;&#1096;&#1077;&#1085;&#1072;%20&#1087;&#1088;&#1086;&#1074;&#1077;&#1088;&#1082;&#1072;%20&#1074;%20&#1048;&#1057;&#1059;&#1053;%20&#1079;&#1072;%20&#1083;&#1080;&#1087;&#1089;&#1072;%20&#1085;&#1072;%20&#1076;&#1074;&#1086;&#1081;&#1085;&#1086;%20&#1092;&#1080;&#1085;&#1072;&#1085;&#1089;&#1080;&#1088;&#1072;&#1085;&#1077;.doc" TargetMode="External"/><Relationship Id="rId70" Type="http://schemas.openxmlformats.org/officeDocument/2006/relationships/hyperlink" Target="3.03.4_&#1050;&#1051;%20&#1079;&#1072;%20&#1080;&#1079;&#1074;&#1098;&#1088;&#1096;&#1077;&#1085;&#1072;%20&#1087;&#1088;&#1086;&#1074;&#1077;&#1088;&#1082;&#1072;%20&#1074;%20&#1048;&#1057;&#1059;&#1053;%20&#1079;&#1072;%20&#1083;&#1080;&#1087;&#1089;&#1072;%20&#1085;&#1072;%20&#1076;&#1074;&#1086;&#1081;&#1085;&#1086;%20&#1092;&#1080;&#1085;&#1072;&#1085;&#1089;&#1080;&#1088;&#1072;&#1085;&#1077;.doc" TargetMode="External"/><Relationship Id="rId75" Type="http://schemas.openxmlformats.org/officeDocument/2006/relationships/hyperlink" Target="3.03.6_&#1050;&#1051;%20&#1079;&#1072;%20&#1087;&#1088;&#1086;&#1074;&#1077;&#1088;&#1082;&#1072;%20&#1085;&#1072;%20&#1087;&#1088;&#1080;&#1083;&#1086;&#1078;&#1077;&#1085;&#1080;&#1090;&#1077;%20&#1076;&#1086;&#1082;&#1091;&#1084;&#1077;&#1085;&#1090;&#1080;%20&#1074;%20&#1048;&#1057;&#1059;&#1053;.docx" TargetMode="External"/><Relationship Id="rId83" Type="http://schemas.openxmlformats.org/officeDocument/2006/relationships/hyperlink" Target="3.05._&#1044;&#1086;&#1082;&#1083;&#1072;&#1076;%20&#1079;&#1072;%20&#1080;&#1079;&#1074;&#1098;&#1088;&#1096;&#1077;&#1085;&#1072;%20&#1086;&#1094;&#1077;&#1085;&#1082;&#1072;%20&#1085;&#1072;%20&#1087;&#1088;&#1086;&#1077;&#1082;&#1090;&#1085;&#1086;%20&#1087;&#1088;&#1077;&#1076;&#1083;&#1086;&#1078;&#1077;&#1085;&#1080;&#1077;.docx" TargetMode="External"/><Relationship Id="rId88" Type="http://schemas.openxmlformats.org/officeDocument/2006/relationships/hyperlink" Target="file:///\\MTITC-FP03\OPTransport\public\DGIvanova\2021-2027\&#1055;&#1088;&#1086;&#1094;&#1077;&#1076;&#1091;&#1088;&#1077;&#1085;%20&#1085;&#1072;&#1088;&#1098;&#1095;&#1085;&#1080;&#1082;\30102023\&#1043;&#1051;&#1040;&#1042;&#1040;%203%20&#1055;&#1056;&#1054;&#1043;&#1056;&#1040;&#1052;&#1048;&#1056;&#1040;&#1053;&#1045;\3.08_&#1047;&#1072;&#1087;&#1086;&#1074;&#1077;&#1076;%20&#1079;&#1072;%20&#1041;&#1060;&#1055;.doc" TargetMode="External"/><Relationship Id="rId91" Type="http://schemas.openxmlformats.org/officeDocument/2006/relationships/hyperlink" Target="3.05._&#1044;&#1086;&#1082;&#1083;&#1072;&#1076;%20&#1079;&#1072;%20&#1080;&#1079;&#1074;&#1098;&#1088;&#1096;&#1077;&#1085;&#1072;%20&#1086;&#1094;&#1077;&#1085;&#1082;&#1072;%20&#1085;&#1072;%20&#1087;&#1088;&#1086;&#1077;&#1082;&#1090;&#1085;&#1086;%20&#1087;&#1088;&#1077;&#1076;&#1083;&#1086;&#1078;&#1077;&#1085;&#1080;&#1077;.docx"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eufunds.bg" TargetMode="External"/><Relationship Id="rId23" Type="http://schemas.openxmlformats.org/officeDocument/2006/relationships/image" Target="media/image1.emf"/><Relationship Id="rId28" Type="http://schemas.openxmlformats.org/officeDocument/2006/relationships/header" Target="header2.xml"/><Relationship Id="rId36" Type="http://schemas.openxmlformats.org/officeDocument/2006/relationships/hyperlink" Target="3.03.8%20&#1055;&#1088;&#1080;&#1083;&#1086;&#1078;&#1077;&#1085;&#1080;&#1103;%20&#1042;&#1098;&#1087;&#1088;&#1086;&#1089;&#1085;&#1080;&#1094;&#1080;%20&#1079;&#1072;%20&#1086;&#1094;&#1077;&#1085;&#1082;&#1072;%20&#1085;&#1072;%20&#1080;&#1085;&#1074;&#1077;&#1089;&#1090;&#1080;&#1094;&#1080;&#1086;&#1085;&#1085;&#1080;%20&#1087;&#1088;&#1086;&#1077;&#1082;&#1090;&#1080;.zip" TargetMode="External"/><Relationship Id="rId49" Type="http://schemas.openxmlformats.org/officeDocument/2006/relationships/hyperlink" Target="3.05._&#1044;&#1086;&#1082;&#1083;&#1072;&#1076;%20&#1079;&#1072;%20&#1080;&#1079;&#1074;&#1098;&#1088;&#1096;&#1077;&#1085;&#1072;%20&#1086;&#1094;&#1077;&#1085;&#1082;&#1072;%20&#1085;&#1072;%20&#1087;&#1088;&#1086;&#1077;&#1082;&#1090;&#1085;&#1086;%20&#1087;&#1088;&#1077;&#1076;&#1083;&#1086;&#1078;&#1077;&#1085;&#1080;&#1077;.docx" TargetMode="External"/><Relationship Id="rId57" Type="http://schemas.openxmlformats.org/officeDocument/2006/relationships/hyperlink" Target="3.05._&#1044;&#1086;&#1082;&#1083;&#1072;&#1076;%20&#1079;&#1072;%20&#1080;&#1079;&#1074;&#1098;&#1088;&#1096;&#1077;&#1085;&#1072;%20&#1086;&#1094;&#1077;&#1085;&#1082;&#1072;%20&#1085;&#1072;%20&#1087;&#1088;&#1086;&#1077;&#1082;&#1090;&#1085;&#1086;%20&#1087;&#1088;&#1077;&#1076;&#1083;&#1086;&#1078;&#1077;&#1085;&#1080;&#1077;.docx" TargetMode="External"/><Relationship Id="rId10" Type="http://schemas.openxmlformats.org/officeDocument/2006/relationships/diagramLayout" Target="diagrams/layout1.xml"/><Relationship Id="rId31" Type="http://schemas.openxmlformats.org/officeDocument/2006/relationships/hyperlink" Target="file:///C:\Users\Schobanov\Desktop\&#1053;&#1072;&#1088;&#1098;&#1095;&#1085;&#1080;&#1082;%204.0\www.optransport.bg" TargetMode="External"/><Relationship Id="rId44" Type="http://schemas.openxmlformats.org/officeDocument/2006/relationships/hyperlink" Target="3.03.2_&#1050;&#1086;&#1085;&#1090;&#1088;&#1086;&#1083;&#1077;&#1085;%20&#1083;&#1080;&#1089;&#1090;%20&#1079;&#1072;%20&#1087;&#1088;&#1077;&#1076;&#1074;&#1072;&#1088;&#1080;&#1090;&#1077;&#1083;&#1085;&#1072;%20&#1086;&#1094;&#1077;&#1085;&#1082;&#1072;%20&#1079;&#1072;%20%20&#1086;&#1087;&#1088;&#1077;&#1076;&#1077;&#1083;&#1103;&#1085;&#1077;%20&#1085;&#1072;&#1083;&#1080;&#1095;&#1080;&#1077;&#1090;&#1086;%20&#1085;&#1072;%20&#1076;&#1098;&#1088;&#1078;&#1072;&#1074;&#1085;&#1072;%20&#1087;&#1086;&#1084;&#1086;&#1097;%20-%20&#1048;&#1079;&#1082;&#1083;&#1102;&#1095;&#1077;&#1085;&#1080;&#1103;.doc" TargetMode="External"/><Relationship Id="rId52" Type="http://schemas.openxmlformats.org/officeDocument/2006/relationships/hyperlink" Target="3.03.2_&#1050;&#1086;&#1085;&#1090;&#1088;&#1086;&#1083;&#1077;&#1085;%20&#1083;&#1080;&#1089;&#1090;%20&#1079;&#1072;%20&#1087;&#1088;&#1077;&#1076;&#1074;&#1072;&#1088;&#1080;&#1090;&#1077;&#1083;&#1085;&#1072;%20&#1086;&#1094;&#1077;&#1085;&#1082;&#1072;%20&#1079;&#1072;%20%20&#1086;&#1087;&#1088;&#1077;&#1076;&#1077;&#1083;&#1103;&#1085;&#1077;%20&#1085;&#1072;&#1083;&#1080;&#1095;&#1080;&#1077;&#1090;&#1086;%20&#1085;&#1072;%20&#1076;&#1098;&#1088;&#1078;&#1072;&#1074;&#1085;&#1072;%20&#1087;&#1086;&#1084;&#1086;&#1097;%20-%20&#1048;&#1079;&#1082;&#1083;&#1102;&#1095;&#1077;&#1085;&#1080;&#1103;.doc" TargetMode="External"/><Relationship Id="rId60" Type="http://schemas.openxmlformats.org/officeDocument/2006/relationships/hyperlink" Target="3.05._&#1044;&#1086;&#1082;&#1083;&#1072;&#1076;%20&#1079;&#1072;%20&#1080;&#1079;&#1074;&#1098;&#1088;&#1096;&#1077;&#1085;&#1072;%20&#1086;&#1094;&#1077;&#1085;&#1082;&#1072;%20&#1085;&#1072;%20&#1087;&#1088;&#1086;&#1077;&#1082;&#1090;&#1085;&#1086;%20&#1087;&#1088;&#1077;&#1076;&#1083;&#1086;&#1078;&#1077;&#1085;&#1080;&#1077;.docx" TargetMode="External"/><Relationship Id="rId65" Type="http://schemas.openxmlformats.org/officeDocument/2006/relationships/hyperlink" Target="3.03.5._&#1050;&#1051;%20&#1079;&#1072;%20&#1087;&#1088;&#1086;&#1074;&#1077;&#1088;&#1082;&#1072;%20&#1085;&#1072;%20&#1087;&#1088;&#1086;&#1094;&#1077;&#1076;&#1091;&#1088;&#1072;&#1090;&#1072;%20&#1085;&#1072;%20&#1080;&#1079;&#1074;&#1098;&#1088;&#1096;&#1077;&#1085;&#1072;%20&#1086;&#1094;&#1077;&#1085;&#1082;&#1072;%20&#1085;&#1072;%20&#1087;&#1088;&#1086;&#1077;&#1082;&#1090;&#1085;&#1086;%20&#1087;&#1088;&#1077;&#1076;&#1083;&#1086;&#1078;&#1077;&#1085;&#1080;&#1077;.docx" TargetMode="External"/><Relationship Id="rId73" Type="http://schemas.openxmlformats.org/officeDocument/2006/relationships/hyperlink" Target="3.02._&#1044;&#1077;&#1082;&#1083;&#1072;&#1088;&#1072;&#1094;&#1080;&#1103;%20&#1079;&#1072;%20&#1083;&#1080;&#1087;&#1089;&#1072;%20&#1085;&#1072;%20&#1082;&#1086;&#1085;&#1092;&#1083;&#1080;&#1082;&#1090;%20&#1085;&#1072;%20&#1080;&#1085;&#1090;&#1077;&#1088;&#1077;&#1089;&#1080;%20&#1080;%20&#1087;&#1086;&#1074;&#1077;&#1088;&#1080;&#1090;&#1077;&#1083;&#1085;&#1086;&#1089;&#1090;.doc" TargetMode="External"/><Relationship Id="rId78" Type="http://schemas.openxmlformats.org/officeDocument/2006/relationships/hyperlink" Target="file:///C:\Users\Sgotzov\AppData\Local\Microsoft\Windows\INetCache\Content.Outlook\0QLPQ679\&#1043;&#1083;&#1072;&#1074;&#1072;%202%20&#1044;&#1098;&#1088;&#1078;&#1072;&#1074;&#1085;&#1080;%20&#1087;&#1086;&#1084;&#1086;&#1097;&#1080;%20-%20&#1055;&#1088;&#1080;&#1083;&#1086;&#1078;&#1077;&#1085;&#1080;&#1103;\2.02._&#1050;&#1086;&#1085;&#1090;&#1088;&#1086;&#1083;&#1077;&#1085;%20&#1083;&#1080;&#1089;&#1090;%20&#1079;&#1072;%20&#1087;&#1088;&#1077;&#1076;&#1074;&#1072;&#1088;&#1080;&#1090;&#1077;&#1083;&#1085;&#1072;%20&#1086;&#1094;&#1077;&#1085;&#1082;&#1072;%20&#1079;&#1072;%20%20&#1086;&#1087;&#1088;&#1077;&#1076;&#1077;&#1083;&#1103;&#1085;&#1077;%20&#1085;&#1072;&#1083;&#1080;&#1095;&#1080;&#1077;&#1090;&#1086;%20&#1085;&#1072;%20&#1076;&#1098;&#1088;&#1078;&#1072;&#1074;&#1085;&#1072;%20&#1087;&#1086;&#1084;&#1086;&#1097;%20-%20&#1048;&#1079;&#1082;&#1083;&#1102;&#1095;&#1077;&#1085;&#1080;&#1103;.doc" TargetMode="External"/><Relationship Id="rId81" Type="http://schemas.openxmlformats.org/officeDocument/2006/relationships/hyperlink" Target="3.05._&#1044;&#1086;&#1082;&#1083;&#1072;&#1076;%20&#1079;&#1072;%20&#1080;&#1079;&#1074;&#1098;&#1088;&#1096;&#1077;&#1085;&#1072;%20&#1086;&#1094;&#1077;&#1085;&#1082;&#1072;%20&#1085;&#1072;%20&#1087;&#1088;&#1086;&#1077;&#1082;&#1090;&#1085;&#1086;%20&#1087;&#1088;&#1077;&#1076;&#1083;&#1086;&#1078;&#1077;&#1085;&#1080;&#1077;.docx" TargetMode="External"/><Relationship Id="rId86" Type="http://schemas.openxmlformats.org/officeDocument/2006/relationships/hyperlink" Target="3.08_&#1047;&#1072;&#1087;&#1086;&#1074;&#1077;&#1076;%20&#1079;&#1072;%20&#1041;&#1060;&#1055;.doc" TargetMode="External"/><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diagramData" Target="diagrams/data1.xml"/></Relationships>
</file>

<file path=word/_rels/header1.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oleObject" Target="embeddings/oleObject1.bin"/><Relationship Id="rId1" Type="http://schemas.openxmlformats.org/officeDocument/2006/relationships/image" Target="media/image2.emf"/><Relationship Id="rId4" Type="http://schemas.openxmlformats.org/officeDocument/2006/relationships/oleObject" Target="embeddings/oleObject2.bin"/></Relationships>
</file>

<file path=word/_rels/header2.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oleObject" Target="embeddings/oleObject3.bin"/><Relationship Id="rId1" Type="http://schemas.openxmlformats.org/officeDocument/2006/relationships/image" Target="media/image2.emf"/><Relationship Id="rId4" Type="http://schemas.openxmlformats.org/officeDocument/2006/relationships/oleObject" Target="embeddings/oleObject4.bin"/></Relationships>
</file>

<file path=word/diagrams/colors1.xml><?xml version="1.0" encoding="utf-8"?>
<dgm:colorsDef xmlns:dgm="http://schemas.openxmlformats.org/drawingml/2006/diagram" xmlns:a="http://schemas.openxmlformats.org/drawingml/2006/main" uniqueId="urn:microsoft.com/office/officeart/2005/8/colors/accent1_2#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933938B-4F21-4045-99B9-9913E70C63B5}" type="doc">
      <dgm:prSet loTypeId="urn:microsoft.com/office/officeart/2005/8/layout/cycle3" loCatId="cycle" qsTypeId="urn:microsoft.com/office/officeart/2005/8/quickstyle/simple1#2" qsCatId="simple" csTypeId="urn:microsoft.com/office/officeart/2005/8/colors/accent1_2#2" csCatId="accent1" phldr="1"/>
      <dgm:spPr/>
      <dgm:t>
        <a:bodyPr/>
        <a:lstStyle/>
        <a:p>
          <a:endParaRPr lang="bg-BG"/>
        </a:p>
      </dgm:t>
    </dgm:pt>
    <dgm:pt modelId="{756A8FD5-D6D9-4809-825F-982B2BD13B72}">
      <dgm:prSet phldrT="[Text]" custT="1"/>
      <dgm:spPr>
        <a:xfrm>
          <a:off x="1944029" y="-15277"/>
          <a:ext cx="1421014" cy="710507"/>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bg-BG" sz="1000" baseline="0" dirty="0">
              <a:solidFill>
                <a:sysClr val="window" lastClr="FFFFFF"/>
              </a:solidFill>
              <a:latin typeface="Calibri"/>
              <a:ea typeface="+mn-ea"/>
              <a:cs typeface="+mn-cs"/>
            </a:rPr>
            <a:t>Необходимост от изменение на ПТС </a:t>
          </a:r>
        </a:p>
      </dgm:t>
    </dgm:pt>
    <dgm:pt modelId="{40F050F8-1903-4359-AAE0-594FB1F0882C}" type="parTrans" cxnId="{FBE66F2C-F448-416D-94C0-5E267B62C122}">
      <dgm:prSet/>
      <dgm:spPr/>
      <dgm:t>
        <a:bodyPr/>
        <a:lstStyle/>
        <a:p>
          <a:endParaRPr lang="bg-BG"/>
        </a:p>
      </dgm:t>
    </dgm:pt>
    <dgm:pt modelId="{B1B41E58-B6BD-4215-A10E-DE920D89FFD0}" type="sibTrans" cxnId="{FBE66F2C-F448-416D-94C0-5E267B62C122}">
      <dgm:prSet/>
      <dgm:spPr>
        <a:xfrm>
          <a:off x="323904" y="-49335"/>
          <a:ext cx="4661264" cy="4661264"/>
        </a:xfrm>
        <a:solidFill>
          <a:srgbClr val="4F81BD">
            <a:tint val="40000"/>
            <a:hueOff val="0"/>
            <a:satOff val="0"/>
            <a:lumOff val="0"/>
            <a:alphaOff val="0"/>
          </a:srgbClr>
        </a:solidFill>
        <a:ln>
          <a:noFill/>
        </a:ln>
        <a:effectLst/>
      </dgm:spPr>
      <dgm:t>
        <a:bodyPr/>
        <a:lstStyle/>
        <a:p>
          <a:endParaRPr lang="bg-BG"/>
        </a:p>
      </dgm:t>
    </dgm:pt>
    <dgm:pt modelId="{DF19B0BF-B19A-43E9-A402-CAC0EBAE52DA}">
      <dgm:prSet phldrT="[Text]" custT="1"/>
      <dgm:spPr>
        <a:xfrm>
          <a:off x="2981203" y="3633784"/>
          <a:ext cx="1421014" cy="923346"/>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bg-BG" sz="1000" baseline="0" dirty="0">
              <a:solidFill>
                <a:sysClr val="window" lastClr="FFFFFF"/>
              </a:solidFill>
              <a:latin typeface="Calibri"/>
              <a:ea typeface="+mn-ea"/>
              <a:cs typeface="+mn-cs"/>
            </a:rPr>
            <a:t>Процедура по преценяване на необходимостта от извършване на екологична оценка</a:t>
          </a:r>
        </a:p>
      </dgm:t>
    </dgm:pt>
    <dgm:pt modelId="{7A0F8885-30AA-4552-BB03-013A885B8F04}" type="parTrans" cxnId="{4FD0760D-1C4D-45F5-80BE-9FC8D7BB8E93}">
      <dgm:prSet/>
      <dgm:spPr/>
      <dgm:t>
        <a:bodyPr/>
        <a:lstStyle/>
        <a:p>
          <a:endParaRPr lang="bg-BG"/>
        </a:p>
      </dgm:t>
    </dgm:pt>
    <dgm:pt modelId="{CBE584E2-186B-4228-9FA9-12DA8FE6A8A8}" type="sibTrans" cxnId="{4FD0760D-1C4D-45F5-80BE-9FC8D7BB8E93}">
      <dgm:prSet/>
      <dgm:spPr/>
      <dgm:t>
        <a:bodyPr/>
        <a:lstStyle/>
        <a:p>
          <a:endParaRPr lang="bg-BG"/>
        </a:p>
      </dgm:t>
    </dgm:pt>
    <dgm:pt modelId="{3C522F86-BB0C-434D-AF74-7B22F922D594}">
      <dgm:prSet phldrT="[Text]" custT="1"/>
      <dgm:spPr>
        <a:xfrm>
          <a:off x="906867" y="3639982"/>
          <a:ext cx="1421014" cy="89986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bg-BG" sz="1000" dirty="0">
              <a:solidFill>
                <a:sysClr val="window" lastClr="FFFFFF"/>
              </a:solidFill>
              <a:latin typeface="Calibri"/>
              <a:ea typeface="+mn-ea"/>
              <a:cs typeface="+mn-cs"/>
            </a:rPr>
            <a:t>Официално искането за изменението на ПТС се представя на ЕК </a:t>
          </a:r>
        </a:p>
      </dgm:t>
    </dgm:pt>
    <dgm:pt modelId="{A70BEC03-C521-4F26-8B3C-06BFF1B0A321}" type="parTrans" cxnId="{7EB612BC-196F-4328-85D6-7574A9A00C09}">
      <dgm:prSet/>
      <dgm:spPr/>
      <dgm:t>
        <a:bodyPr/>
        <a:lstStyle/>
        <a:p>
          <a:endParaRPr lang="bg-BG"/>
        </a:p>
      </dgm:t>
    </dgm:pt>
    <dgm:pt modelId="{9A4B7C13-E5CE-4A3A-8E26-A6C56188E504}" type="sibTrans" cxnId="{7EB612BC-196F-4328-85D6-7574A9A00C09}">
      <dgm:prSet/>
      <dgm:spPr/>
      <dgm:t>
        <a:bodyPr/>
        <a:lstStyle/>
        <a:p>
          <a:endParaRPr lang="bg-BG"/>
        </a:p>
      </dgm:t>
    </dgm:pt>
    <dgm:pt modelId="{6AC342BA-6071-4E64-A2DE-886831A0D7E4}">
      <dgm:prSet custT="1"/>
      <dgm:spPr>
        <a:xfrm>
          <a:off x="3603502" y="764821"/>
          <a:ext cx="1421014" cy="90242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L="0" marR="0" indent="0" defTabSz="914400" eaLnBrk="1" fontAlgn="auto" latinLnBrk="0" hangingPunct="1">
            <a:lnSpc>
              <a:spcPct val="100000"/>
            </a:lnSpc>
            <a:spcBef>
              <a:spcPts val="0"/>
            </a:spcBef>
            <a:spcAft>
              <a:spcPts val="0"/>
            </a:spcAft>
            <a:buClrTx/>
            <a:buSzTx/>
            <a:buFontTx/>
            <a:buNone/>
            <a:tabLst/>
            <a:defRPr/>
          </a:pPr>
          <a:r>
            <a:rPr lang="bg-BG" sz="1000" baseline="0" dirty="0">
              <a:solidFill>
                <a:sysClr val="window" lastClr="FFFFFF"/>
              </a:solidFill>
              <a:latin typeface="Calibri"/>
              <a:ea typeface="+mn-ea"/>
              <a:cs typeface="+mn-cs"/>
            </a:rPr>
            <a:t>Изложение и обосновка на изменението на ПТС</a:t>
          </a:r>
        </a:p>
        <a:p>
          <a:pPr defTabSz="533400">
            <a:lnSpc>
              <a:spcPct val="90000"/>
            </a:lnSpc>
            <a:spcBef>
              <a:spcPct val="0"/>
            </a:spcBef>
            <a:spcAft>
              <a:spcPct val="35000"/>
            </a:spcAft>
          </a:pPr>
          <a:endParaRPr lang="bg-BG" sz="1300" dirty="0">
            <a:solidFill>
              <a:sysClr val="window" lastClr="FFFFFF"/>
            </a:solidFill>
            <a:latin typeface="Calibri"/>
            <a:ea typeface="+mn-ea"/>
            <a:cs typeface="+mn-cs"/>
          </a:endParaRPr>
        </a:p>
      </dgm:t>
    </dgm:pt>
    <dgm:pt modelId="{4237EB4D-5E6A-45B2-9FFC-40C3AFBFCD2C}" type="parTrans" cxnId="{D01FEF33-BD85-4C09-8B5D-6EAB1037FA3C}">
      <dgm:prSet/>
      <dgm:spPr/>
      <dgm:t>
        <a:bodyPr/>
        <a:lstStyle/>
        <a:p>
          <a:endParaRPr lang="bg-BG"/>
        </a:p>
      </dgm:t>
    </dgm:pt>
    <dgm:pt modelId="{C92B6C69-86DC-4935-ABF6-A730133E3A45}" type="sibTrans" cxnId="{D01FEF33-BD85-4C09-8B5D-6EAB1037FA3C}">
      <dgm:prSet/>
      <dgm:spPr/>
      <dgm:t>
        <a:bodyPr/>
        <a:lstStyle/>
        <a:p>
          <a:endParaRPr lang="bg-BG"/>
        </a:p>
      </dgm:t>
    </dgm:pt>
    <dgm:pt modelId="{E4C20363-492F-42E5-AF78-0621B6B310C0}">
      <dgm:prSet custT="1"/>
      <dgm:spPr>
        <a:xfrm>
          <a:off x="3879965" y="2301367"/>
          <a:ext cx="1421014" cy="948932"/>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L="0" marR="0" indent="0" defTabSz="914400" eaLnBrk="1" fontAlgn="auto" latinLnBrk="0" hangingPunct="1">
            <a:lnSpc>
              <a:spcPct val="100000"/>
            </a:lnSpc>
            <a:spcBef>
              <a:spcPts val="0"/>
            </a:spcBef>
            <a:spcAft>
              <a:spcPts val="0"/>
            </a:spcAft>
            <a:buClrTx/>
            <a:buSzTx/>
            <a:buFontTx/>
            <a:buNone/>
            <a:tabLst/>
            <a:defRPr/>
          </a:pPr>
          <a:r>
            <a:rPr lang="bg-BG" sz="1000" baseline="0" dirty="0">
              <a:solidFill>
                <a:sysClr val="window" lastClr="FFFFFF"/>
              </a:solidFill>
              <a:latin typeface="Calibri"/>
              <a:ea typeface="+mn-ea"/>
              <a:cs typeface="+mn-cs"/>
            </a:rPr>
            <a:t>КН на ПТС взема решение по предложението за изменението</a:t>
          </a:r>
        </a:p>
        <a:p>
          <a:pPr defTabSz="444500">
            <a:lnSpc>
              <a:spcPct val="90000"/>
            </a:lnSpc>
            <a:spcBef>
              <a:spcPct val="0"/>
            </a:spcBef>
            <a:spcAft>
              <a:spcPct val="35000"/>
            </a:spcAft>
          </a:pPr>
          <a:endParaRPr lang="bg-BG" sz="1100" dirty="0">
            <a:solidFill>
              <a:sysClr val="window" lastClr="FFFFFF"/>
            </a:solidFill>
            <a:latin typeface="Calibri"/>
            <a:ea typeface="+mn-ea"/>
            <a:cs typeface="+mn-cs"/>
          </a:endParaRPr>
        </a:p>
      </dgm:t>
    </dgm:pt>
    <dgm:pt modelId="{53F57BAF-4809-4576-863A-CA443CB2F194}" type="parTrans" cxnId="{2F76AFF8-B039-4A34-9B0F-A4CFB69D8AD2}">
      <dgm:prSet/>
      <dgm:spPr/>
      <dgm:t>
        <a:bodyPr/>
        <a:lstStyle/>
        <a:p>
          <a:endParaRPr lang="bg-BG"/>
        </a:p>
      </dgm:t>
    </dgm:pt>
    <dgm:pt modelId="{90E8A254-D283-43BF-BE7A-8D0737ECC683}" type="sibTrans" cxnId="{2F76AFF8-B039-4A34-9B0F-A4CFB69D8AD2}">
      <dgm:prSet/>
      <dgm:spPr/>
      <dgm:t>
        <a:bodyPr/>
        <a:lstStyle/>
        <a:p>
          <a:endParaRPr lang="bg-BG"/>
        </a:p>
      </dgm:t>
    </dgm:pt>
    <dgm:pt modelId="{2313AB21-DB73-460B-8236-B2A1F6DE1EBD}">
      <dgm:prSet custT="1"/>
      <dgm:spPr>
        <a:xfrm>
          <a:off x="2073" y="2301372"/>
          <a:ext cx="1421014" cy="93732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bg-BG" sz="1000" dirty="0">
              <a:solidFill>
                <a:sysClr val="window" lastClr="FFFFFF"/>
              </a:solidFill>
              <a:latin typeface="Calibri"/>
              <a:ea typeface="+mn-ea"/>
              <a:cs typeface="+mn-cs"/>
            </a:rPr>
            <a:t>УО на ПТС отразява или отговаря на коментарите на ЕК (в случай, че са постъпили)</a:t>
          </a:r>
        </a:p>
      </dgm:t>
    </dgm:pt>
    <dgm:pt modelId="{76CABDDE-5175-48F7-9317-8A53120A834E}" type="parTrans" cxnId="{D772AAAB-0652-4F04-9181-9846D2B391F7}">
      <dgm:prSet/>
      <dgm:spPr/>
      <dgm:t>
        <a:bodyPr/>
        <a:lstStyle/>
        <a:p>
          <a:endParaRPr lang="bg-BG"/>
        </a:p>
      </dgm:t>
    </dgm:pt>
    <dgm:pt modelId="{A012A2C2-FD56-4421-8640-B06270E72CDB}" type="sibTrans" cxnId="{D772AAAB-0652-4F04-9181-9846D2B391F7}">
      <dgm:prSet/>
      <dgm:spPr/>
      <dgm:t>
        <a:bodyPr/>
        <a:lstStyle/>
        <a:p>
          <a:endParaRPr lang="bg-BG"/>
        </a:p>
      </dgm:t>
    </dgm:pt>
    <dgm:pt modelId="{B2B77EB5-0CF1-4D5A-9C4E-DA36B83748C9}">
      <dgm:prSet custT="1"/>
      <dgm:spPr>
        <a:xfrm>
          <a:off x="284558" y="814994"/>
          <a:ext cx="1421014" cy="858022"/>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bg-BG" sz="1000" baseline="0" dirty="0">
              <a:solidFill>
                <a:sysClr val="window" lastClr="FFFFFF"/>
              </a:solidFill>
              <a:latin typeface="Calibri"/>
              <a:ea typeface="+mn-ea"/>
              <a:cs typeface="+mn-cs"/>
            </a:rPr>
            <a:t>Получаване на становище на ЕК по искането за изменение на ПТС </a:t>
          </a:r>
        </a:p>
      </dgm:t>
    </dgm:pt>
    <dgm:pt modelId="{D02D18CB-54A2-4A0D-9E3B-DA3EE347F15A}" type="parTrans" cxnId="{E090E996-965E-4409-9010-2F585C52F8AD}">
      <dgm:prSet/>
      <dgm:spPr/>
      <dgm:t>
        <a:bodyPr/>
        <a:lstStyle/>
        <a:p>
          <a:endParaRPr lang="bg-BG"/>
        </a:p>
      </dgm:t>
    </dgm:pt>
    <dgm:pt modelId="{2700043D-44E7-4BED-BAB8-13CFB50D003E}" type="sibTrans" cxnId="{E090E996-965E-4409-9010-2F585C52F8AD}">
      <dgm:prSet/>
      <dgm:spPr/>
      <dgm:t>
        <a:bodyPr/>
        <a:lstStyle/>
        <a:p>
          <a:endParaRPr lang="bg-BG"/>
        </a:p>
      </dgm:t>
    </dgm:pt>
    <dgm:pt modelId="{BD3DD240-B1C9-4B28-B6B4-B6AD191FC036}" type="pres">
      <dgm:prSet presAssocID="{8933938B-4F21-4045-99B9-9913E70C63B5}" presName="Name0" presStyleCnt="0">
        <dgm:presLayoutVars>
          <dgm:dir/>
          <dgm:resizeHandles val="exact"/>
        </dgm:presLayoutVars>
      </dgm:prSet>
      <dgm:spPr/>
      <dgm:t>
        <a:bodyPr/>
        <a:lstStyle/>
        <a:p>
          <a:endParaRPr lang="en-US"/>
        </a:p>
      </dgm:t>
    </dgm:pt>
    <dgm:pt modelId="{3C5235B3-DEC8-4563-8D07-72AFBE6A587E}" type="pres">
      <dgm:prSet presAssocID="{8933938B-4F21-4045-99B9-9913E70C63B5}" presName="cycle" presStyleCnt="0"/>
      <dgm:spPr/>
    </dgm:pt>
    <dgm:pt modelId="{3A5000D3-E199-4CBC-B7EA-BC5EFD522F99}" type="pres">
      <dgm:prSet presAssocID="{756A8FD5-D6D9-4809-825F-982B2BD13B72}" presName="nodeFirstNode" presStyleLbl="node1" presStyleIdx="0" presStyleCnt="7" custScaleX="145354" custRadScaleRad="100075" custRadScaleInc="259">
        <dgm:presLayoutVars>
          <dgm:bulletEnabled val="1"/>
        </dgm:presLayoutVars>
      </dgm:prSet>
      <dgm:spPr>
        <a:prstGeom prst="roundRect">
          <a:avLst/>
        </a:prstGeom>
      </dgm:spPr>
      <dgm:t>
        <a:bodyPr/>
        <a:lstStyle/>
        <a:p>
          <a:endParaRPr lang="en-US"/>
        </a:p>
      </dgm:t>
    </dgm:pt>
    <dgm:pt modelId="{E71DBCC4-65F0-42B8-9892-4DF994710F7F}" type="pres">
      <dgm:prSet presAssocID="{B1B41E58-B6BD-4215-A10E-DE920D89FFD0}" presName="sibTransFirstNode" presStyleLbl="bgShp" presStyleIdx="0" presStyleCnt="1"/>
      <dgm:spPr>
        <a:prstGeom prst="circularArrow">
          <a:avLst>
            <a:gd name="adj1" fmla="val 5544"/>
            <a:gd name="adj2" fmla="val 330680"/>
            <a:gd name="adj3" fmla="val 14545852"/>
            <a:gd name="adj4" fmla="val 16933049"/>
            <a:gd name="adj5" fmla="val 5757"/>
          </a:avLst>
        </a:prstGeom>
      </dgm:spPr>
      <dgm:t>
        <a:bodyPr/>
        <a:lstStyle/>
        <a:p>
          <a:endParaRPr lang="en-US"/>
        </a:p>
      </dgm:t>
    </dgm:pt>
    <dgm:pt modelId="{7BA93B45-0C75-4E15-A0B7-1C8F8F85648D}" type="pres">
      <dgm:prSet presAssocID="{6AC342BA-6071-4E64-A2DE-886831A0D7E4}" presName="nodeFollowingNodes" presStyleLbl="node1" presStyleIdx="1" presStyleCnt="7" custScaleX="161754" custScaleY="127012" custRadScaleRad="100656" custRadScaleInc="10706">
        <dgm:presLayoutVars>
          <dgm:bulletEnabled val="1"/>
        </dgm:presLayoutVars>
      </dgm:prSet>
      <dgm:spPr>
        <a:prstGeom prst="roundRect">
          <a:avLst/>
        </a:prstGeom>
      </dgm:spPr>
      <dgm:t>
        <a:bodyPr/>
        <a:lstStyle/>
        <a:p>
          <a:endParaRPr lang="en-US"/>
        </a:p>
      </dgm:t>
    </dgm:pt>
    <dgm:pt modelId="{4909D337-9F2C-44ED-B4D1-90FFF4E07CFE}" type="pres">
      <dgm:prSet presAssocID="{E4C20363-492F-42E5-AF78-0621B6B310C0}" presName="nodeFollowingNodes" presStyleLbl="node1" presStyleIdx="2" presStyleCnt="7" custScaleX="175269" custScaleY="133557" custRadScaleRad="113519" custRadScaleInc="-11339">
        <dgm:presLayoutVars>
          <dgm:bulletEnabled val="1"/>
        </dgm:presLayoutVars>
      </dgm:prSet>
      <dgm:spPr>
        <a:prstGeom prst="roundRect">
          <a:avLst/>
        </a:prstGeom>
      </dgm:spPr>
      <dgm:t>
        <a:bodyPr/>
        <a:lstStyle/>
        <a:p>
          <a:endParaRPr lang="en-US"/>
        </a:p>
      </dgm:t>
    </dgm:pt>
    <dgm:pt modelId="{DEBA11AA-6F1A-4F26-86AB-A967550F5D48}" type="pres">
      <dgm:prSet presAssocID="{DF19B0BF-B19A-43E9-A402-CAC0EBAE52DA}" presName="nodeFollowingNodes" presStyleLbl="node1" presStyleIdx="3" presStyleCnt="7" custScaleX="162291" custScaleY="129956" custRadScaleRad="112328" custRadScaleInc="-27744">
        <dgm:presLayoutVars>
          <dgm:bulletEnabled val="1"/>
        </dgm:presLayoutVars>
      </dgm:prSet>
      <dgm:spPr>
        <a:prstGeom prst="roundRect">
          <a:avLst/>
        </a:prstGeom>
      </dgm:spPr>
      <dgm:t>
        <a:bodyPr/>
        <a:lstStyle/>
        <a:p>
          <a:endParaRPr lang="en-US"/>
        </a:p>
      </dgm:t>
    </dgm:pt>
    <dgm:pt modelId="{05C2A68C-8DEB-4D90-839E-EE87867804A4}" type="pres">
      <dgm:prSet presAssocID="{3C522F86-BB0C-434D-AF74-7B22F922D594}" presName="nodeFollowingNodes" presStyleLbl="node1" presStyleIdx="4" presStyleCnt="7" custScaleX="170119" custScaleY="126651" custRadScaleRad="108687" custRadScaleInc="26579">
        <dgm:presLayoutVars>
          <dgm:bulletEnabled val="1"/>
        </dgm:presLayoutVars>
      </dgm:prSet>
      <dgm:spPr>
        <a:prstGeom prst="roundRect">
          <a:avLst/>
        </a:prstGeom>
      </dgm:spPr>
      <dgm:t>
        <a:bodyPr/>
        <a:lstStyle/>
        <a:p>
          <a:endParaRPr lang="en-US"/>
        </a:p>
      </dgm:t>
    </dgm:pt>
    <dgm:pt modelId="{C79FF51C-7D5A-4CCF-8142-D8A5DE9343D5}" type="pres">
      <dgm:prSet presAssocID="{2313AB21-DB73-460B-8236-B2A1F6DE1EBD}" presName="nodeFollowingNodes" presStyleLbl="node1" presStyleIdx="5" presStyleCnt="7" custScaleX="170257" custScaleY="131924" custRadScaleRad="113689" custRadScaleInc="10952">
        <dgm:presLayoutVars>
          <dgm:bulletEnabled val="1"/>
        </dgm:presLayoutVars>
      </dgm:prSet>
      <dgm:spPr>
        <a:prstGeom prst="roundRect">
          <a:avLst/>
        </a:prstGeom>
      </dgm:spPr>
      <dgm:t>
        <a:bodyPr/>
        <a:lstStyle/>
        <a:p>
          <a:endParaRPr lang="en-US"/>
        </a:p>
      </dgm:t>
    </dgm:pt>
    <dgm:pt modelId="{8D59A466-F4B6-41DB-A249-AD1B0EB08CC4}" type="pres">
      <dgm:prSet presAssocID="{B2B77EB5-0CF1-4D5A-9C4E-DA36B83748C9}" presName="nodeFollowingNodes" presStyleLbl="node1" presStyleIdx="6" presStyleCnt="7" custScaleX="187791" custScaleY="120762" custRadScaleRad="99540" custRadScaleInc="-11913">
        <dgm:presLayoutVars>
          <dgm:bulletEnabled val="1"/>
        </dgm:presLayoutVars>
      </dgm:prSet>
      <dgm:spPr>
        <a:prstGeom prst="roundRect">
          <a:avLst/>
        </a:prstGeom>
      </dgm:spPr>
      <dgm:t>
        <a:bodyPr/>
        <a:lstStyle/>
        <a:p>
          <a:endParaRPr lang="en-US"/>
        </a:p>
      </dgm:t>
    </dgm:pt>
  </dgm:ptLst>
  <dgm:cxnLst>
    <dgm:cxn modelId="{7EB612BC-196F-4328-85D6-7574A9A00C09}" srcId="{8933938B-4F21-4045-99B9-9913E70C63B5}" destId="{3C522F86-BB0C-434D-AF74-7B22F922D594}" srcOrd="4" destOrd="0" parTransId="{A70BEC03-C521-4F26-8B3C-06BFF1B0A321}" sibTransId="{9A4B7C13-E5CE-4A3A-8E26-A6C56188E504}"/>
    <dgm:cxn modelId="{324DB8CE-03D5-479A-808E-7B55274947FA}" type="presOf" srcId="{DF19B0BF-B19A-43E9-A402-CAC0EBAE52DA}" destId="{DEBA11AA-6F1A-4F26-86AB-A967550F5D48}" srcOrd="0" destOrd="0" presId="urn:microsoft.com/office/officeart/2005/8/layout/cycle3"/>
    <dgm:cxn modelId="{D01FEF33-BD85-4C09-8B5D-6EAB1037FA3C}" srcId="{8933938B-4F21-4045-99B9-9913E70C63B5}" destId="{6AC342BA-6071-4E64-A2DE-886831A0D7E4}" srcOrd="1" destOrd="0" parTransId="{4237EB4D-5E6A-45B2-9FFC-40C3AFBFCD2C}" sibTransId="{C92B6C69-86DC-4935-ABF6-A730133E3A45}"/>
    <dgm:cxn modelId="{E090E996-965E-4409-9010-2F585C52F8AD}" srcId="{8933938B-4F21-4045-99B9-9913E70C63B5}" destId="{B2B77EB5-0CF1-4D5A-9C4E-DA36B83748C9}" srcOrd="6" destOrd="0" parTransId="{D02D18CB-54A2-4A0D-9E3B-DA3EE347F15A}" sibTransId="{2700043D-44E7-4BED-BAB8-13CFB50D003E}"/>
    <dgm:cxn modelId="{4FD0760D-1C4D-45F5-80BE-9FC8D7BB8E93}" srcId="{8933938B-4F21-4045-99B9-9913E70C63B5}" destId="{DF19B0BF-B19A-43E9-A402-CAC0EBAE52DA}" srcOrd="3" destOrd="0" parTransId="{7A0F8885-30AA-4552-BB03-013A885B8F04}" sibTransId="{CBE584E2-186B-4228-9FA9-12DA8FE6A8A8}"/>
    <dgm:cxn modelId="{92B08C4F-FA16-476D-9E88-39F46CA33C35}" type="presOf" srcId="{8933938B-4F21-4045-99B9-9913E70C63B5}" destId="{BD3DD240-B1C9-4B28-B6B4-B6AD191FC036}" srcOrd="0" destOrd="0" presId="urn:microsoft.com/office/officeart/2005/8/layout/cycle3"/>
    <dgm:cxn modelId="{FBE66F2C-F448-416D-94C0-5E267B62C122}" srcId="{8933938B-4F21-4045-99B9-9913E70C63B5}" destId="{756A8FD5-D6D9-4809-825F-982B2BD13B72}" srcOrd="0" destOrd="0" parTransId="{40F050F8-1903-4359-AAE0-594FB1F0882C}" sibTransId="{B1B41E58-B6BD-4215-A10E-DE920D89FFD0}"/>
    <dgm:cxn modelId="{80A802A7-C485-48F0-A3C0-D98C8EB1DBDA}" type="presOf" srcId="{B1B41E58-B6BD-4215-A10E-DE920D89FFD0}" destId="{E71DBCC4-65F0-42B8-9892-4DF994710F7F}" srcOrd="0" destOrd="0" presId="urn:microsoft.com/office/officeart/2005/8/layout/cycle3"/>
    <dgm:cxn modelId="{D772AAAB-0652-4F04-9181-9846D2B391F7}" srcId="{8933938B-4F21-4045-99B9-9913E70C63B5}" destId="{2313AB21-DB73-460B-8236-B2A1F6DE1EBD}" srcOrd="5" destOrd="0" parTransId="{76CABDDE-5175-48F7-9317-8A53120A834E}" sibTransId="{A012A2C2-FD56-4421-8640-B06270E72CDB}"/>
    <dgm:cxn modelId="{BE02EF2B-4825-4D96-8E9D-F5CFA5ED9B30}" type="presOf" srcId="{2313AB21-DB73-460B-8236-B2A1F6DE1EBD}" destId="{C79FF51C-7D5A-4CCF-8142-D8A5DE9343D5}" srcOrd="0" destOrd="0" presId="urn:microsoft.com/office/officeart/2005/8/layout/cycle3"/>
    <dgm:cxn modelId="{177D7A88-E652-48E0-93F9-4413CAE3918B}" type="presOf" srcId="{B2B77EB5-0CF1-4D5A-9C4E-DA36B83748C9}" destId="{8D59A466-F4B6-41DB-A249-AD1B0EB08CC4}" srcOrd="0" destOrd="0" presId="urn:microsoft.com/office/officeart/2005/8/layout/cycle3"/>
    <dgm:cxn modelId="{E0528253-E41A-495F-A10C-03BF1EB57460}" type="presOf" srcId="{3C522F86-BB0C-434D-AF74-7B22F922D594}" destId="{05C2A68C-8DEB-4D90-839E-EE87867804A4}" srcOrd="0" destOrd="0" presId="urn:microsoft.com/office/officeart/2005/8/layout/cycle3"/>
    <dgm:cxn modelId="{AAE51AE8-7B70-4338-94D1-3B10F5D46010}" type="presOf" srcId="{756A8FD5-D6D9-4809-825F-982B2BD13B72}" destId="{3A5000D3-E199-4CBC-B7EA-BC5EFD522F99}" srcOrd="0" destOrd="0" presId="urn:microsoft.com/office/officeart/2005/8/layout/cycle3"/>
    <dgm:cxn modelId="{2F76AFF8-B039-4A34-9B0F-A4CFB69D8AD2}" srcId="{8933938B-4F21-4045-99B9-9913E70C63B5}" destId="{E4C20363-492F-42E5-AF78-0621B6B310C0}" srcOrd="2" destOrd="0" parTransId="{53F57BAF-4809-4576-863A-CA443CB2F194}" sibTransId="{90E8A254-D283-43BF-BE7A-8D0737ECC683}"/>
    <dgm:cxn modelId="{B9CA22DA-A9DE-4E13-A324-9CF2B705A050}" type="presOf" srcId="{6AC342BA-6071-4E64-A2DE-886831A0D7E4}" destId="{7BA93B45-0C75-4E15-A0B7-1C8F8F85648D}" srcOrd="0" destOrd="0" presId="urn:microsoft.com/office/officeart/2005/8/layout/cycle3"/>
    <dgm:cxn modelId="{70D7AF7E-09C6-4C74-B4E4-E4E5C0AA430D}" type="presOf" srcId="{E4C20363-492F-42E5-AF78-0621B6B310C0}" destId="{4909D337-9F2C-44ED-B4D1-90FFF4E07CFE}" srcOrd="0" destOrd="0" presId="urn:microsoft.com/office/officeart/2005/8/layout/cycle3"/>
    <dgm:cxn modelId="{BEC84FB4-FFC1-4E83-95CA-AA129308030C}" type="presParOf" srcId="{BD3DD240-B1C9-4B28-B6B4-B6AD191FC036}" destId="{3C5235B3-DEC8-4563-8D07-72AFBE6A587E}" srcOrd="0" destOrd="0" presId="urn:microsoft.com/office/officeart/2005/8/layout/cycle3"/>
    <dgm:cxn modelId="{4736C617-E5E0-4DF2-AE9F-328F53649A90}" type="presParOf" srcId="{3C5235B3-DEC8-4563-8D07-72AFBE6A587E}" destId="{3A5000D3-E199-4CBC-B7EA-BC5EFD522F99}" srcOrd="0" destOrd="0" presId="urn:microsoft.com/office/officeart/2005/8/layout/cycle3"/>
    <dgm:cxn modelId="{2B62F8EB-01E2-428C-9F12-147EEBE208F7}" type="presParOf" srcId="{3C5235B3-DEC8-4563-8D07-72AFBE6A587E}" destId="{E71DBCC4-65F0-42B8-9892-4DF994710F7F}" srcOrd="1" destOrd="0" presId="urn:microsoft.com/office/officeart/2005/8/layout/cycle3"/>
    <dgm:cxn modelId="{A7F16433-4136-4AE4-8A90-9EAB8132F0D2}" type="presParOf" srcId="{3C5235B3-DEC8-4563-8D07-72AFBE6A587E}" destId="{7BA93B45-0C75-4E15-A0B7-1C8F8F85648D}" srcOrd="2" destOrd="0" presId="urn:microsoft.com/office/officeart/2005/8/layout/cycle3"/>
    <dgm:cxn modelId="{40AB1DAA-18D1-4D6D-AB87-C40D14A6418D}" type="presParOf" srcId="{3C5235B3-DEC8-4563-8D07-72AFBE6A587E}" destId="{4909D337-9F2C-44ED-B4D1-90FFF4E07CFE}" srcOrd="3" destOrd="0" presId="urn:microsoft.com/office/officeart/2005/8/layout/cycle3"/>
    <dgm:cxn modelId="{8AED810C-29DD-4AEF-A0AD-688CC028F364}" type="presParOf" srcId="{3C5235B3-DEC8-4563-8D07-72AFBE6A587E}" destId="{DEBA11AA-6F1A-4F26-86AB-A967550F5D48}" srcOrd="4" destOrd="0" presId="urn:microsoft.com/office/officeart/2005/8/layout/cycle3"/>
    <dgm:cxn modelId="{A19BEAD9-7C0C-4F19-BF0F-0D8C72DC0EE9}" type="presParOf" srcId="{3C5235B3-DEC8-4563-8D07-72AFBE6A587E}" destId="{05C2A68C-8DEB-4D90-839E-EE87867804A4}" srcOrd="5" destOrd="0" presId="urn:microsoft.com/office/officeart/2005/8/layout/cycle3"/>
    <dgm:cxn modelId="{7771F8B7-052C-45AA-9F5E-39B3A4935869}" type="presParOf" srcId="{3C5235B3-DEC8-4563-8D07-72AFBE6A587E}" destId="{C79FF51C-7D5A-4CCF-8142-D8A5DE9343D5}" srcOrd="6" destOrd="0" presId="urn:microsoft.com/office/officeart/2005/8/layout/cycle3"/>
    <dgm:cxn modelId="{1B6190FF-CC82-4C00-9ADD-8957396CFD9E}" type="presParOf" srcId="{3C5235B3-DEC8-4563-8D07-72AFBE6A587E}" destId="{8D59A466-F4B6-41DB-A249-AD1B0EB08CC4}" srcOrd="7" destOrd="0" presId="urn:microsoft.com/office/officeart/2005/8/layout/cycle3"/>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4CF1F80-7349-4DC3-AB6D-DBF0B9A9BCE1}" type="doc">
      <dgm:prSet loTypeId="urn:microsoft.com/office/officeart/2005/8/layout/vList6" loCatId="list" qsTypeId="urn:microsoft.com/office/officeart/2005/8/quickstyle/simple4" qsCatId="simple" csTypeId="urn:microsoft.com/office/officeart/2005/8/colors/colorful3" csCatId="colorful" phldr="1"/>
      <dgm:spPr/>
      <dgm:t>
        <a:bodyPr/>
        <a:lstStyle/>
        <a:p>
          <a:endParaRPr lang="en-US"/>
        </a:p>
      </dgm:t>
    </dgm:pt>
    <dgm:pt modelId="{205C7148-BAA9-46C1-9F48-95E1ED3C5A47}">
      <dgm:prSet phldrT="[Text]"/>
      <dgm:spPr>
        <a:xfrm>
          <a:off x="0" y="469"/>
          <a:ext cx="2049526" cy="591870"/>
        </a:xfrm>
        <a:gradFill rotWithShape="0">
          <a:gsLst>
            <a:gs pos="0">
              <a:srgbClr val="9BBB59">
                <a:hueOff val="0"/>
                <a:satOff val="0"/>
                <a:lumOff val="0"/>
                <a:alphaOff val="0"/>
                <a:shade val="51000"/>
                <a:satMod val="130000"/>
              </a:srgbClr>
            </a:gs>
            <a:gs pos="80000">
              <a:srgbClr val="9BBB59">
                <a:hueOff val="0"/>
                <a:satOff val="0"/>
                <a:lumOff val="0"/>
                <a:alphaOff val="0"/>
                <a:shade val="93000"/>
                <a:satMod val="130000"/>
              </a:srgbClr>
            </a:gs>
            <a:gs pos="100000">
              <a:srgbClr val="9BBB59">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dgm:spPr>
      <dgm:t>
        <a:bodyPr/>
        <a:lstStyle/>
        <a:p>
          <a:r>
            <a:rPr lang="bg-BG" dirty="0">
              <a:solidFill>
                <a:sysClr val="window" lastClr="FFFFFF"/>
              </a:solidFill>
              <a:latin typeface="Times New Roman" pitchFamily="18" charset="0"/>
              <a:ea typeface="+mn-ea"/>
              <a:cs typeface="Times New Roman" pitchFamily="18" charset="0"/>
            </a:rPr>
            <a:t>Идентифициране на нуждите</a:t>
          </a:r>
          <a:endParaRPr lang="en-US" dirty="0">
            <a:solidFill>
              <a:sysClr val="window" lastClr="FFFFFF"/>
            </a:solidFill>
            <a:latin typeface="Times New Roman" pitchFamily="18" charset="0"/>
            <a:ea typeface="+mn-ea"/>
            <a:cs typeface="Times New Roman" pitchFamily="18" charset="0"/>
          </a:endParaRPr>
        </a:p>
      </dgm:t>
    </dgm:pt>
    <dgm:pt modelId="{F74E27E7-ECF8-4F44-BD88-C96F1673EDC1}" type="parTrans" cxnId="{BAEBDD58-11F8-4504-A58C-D630834A88D9}">
      <dgm:prSet/>
      <dgm:spPr/>
      <dgm:t>
        <a:bodyPr/>
        <a:lstStyle/>
        <a:p>
          <a:endParaRPr lang="en-US"/>
        </a:p>
      </dgm:t>
    </dgm:pt>
    <dgm:pt modelId="{920DDB8A-0879-48CC-B8C7-402E6E6D1950}" type="sibTrans" cxnId="{BAEBDD58-11F8-4504-A58C-D630834A88D9}">
      <dgm:prSet/>
      <dgm:spPr/>
      <dgm:t>
        <a:bodyPr/>
        <a:lstStyle/>
        <a:p>
          <a:endParaRPr lang="en-US"/>
        </a:p>
      </dgm:t>
    </dgm:pt>
    <dgm:pt modelId="{E9CE49FE-A7A6-496B-A6D1-247F3CD4B615}">
      <dgm:prSet phldrT="[Text]"/>
      <dgm:spPr>
        <a:xfrm>
          <a:off x="2049525" y="469"/>
          <a:ext cx="3074289" cy="591870"/>
        </a:xfrm>
        <a:solidFill>
          <a:srgbClr val="9BBB59">
            <a:tint val="40000"/>
            <a:alpha val="90000"/>
            <a:hueOff val="0"/>
            <a:satOff val="0"/>
            <a:lumOff val="0"/>
            <a:alphaOff val="0"/>
          </a:srgbClr>
        </a:solidFill>
        <a:ln w="9525" cap="flat" cmpd="sng" algn="ctr">
          <a:solidFill>
            <a:srgbClr val="9BBB59">
              <a:tint val="40000"/>
              <a:alpha val="90000"/>
              <a:hueOff val="0"/>
              <a:satOff val="0"/>
              <a:lumOff val="0"/>
              <a:alphaOff val="0"/>
            </a:srgbClr>
          </a:solidFill>
          <a:prstDash val="solid"/>
        </a:ln>
        <a:effectLst/>
      </dgm:spPr>
      <dgm:t>
        <a:bodyPr/>
        <a:lstStyle/>
        <a:p>
          <a:pPr marL="442913" indent="-266700" defTabSz="666750">
            <a:lnSpc>
              <a:spcPct val="90000"/>
            </a:lnSpc>
            <a:spcBef>
              <a:spcPct val="0"/>
            </a:spcBef>
            <a:spcAft>
              <a:spcPct val="15000"/>
            </a:spcAft>
            <a:buNone/>
          </a:pPr>
          <a:r>
            <a:rPr lang="bg-BG" dirty="0">
              <a:solidFill>
                <a:sysClr val="windowText" lastClr="000000">
                  <a:hueOff val="0"/>
                  <a:satOff val="0"/>
                  <a:lumOff val="0"/>
                  <a:alphaOff val="0"/>
                </a:sysClr>
              </a:solidFill>
              <a:latin typeface="Times New Roman" pitchFamily="18" charset="0"/>
              <a:ea typeface="+mn-ea"/>
              <a:cs typeface="Times New Roman" pitchFamily="18" charset="0"/>
            </a:rPr>
            <a:t>Идентифициране на проблеми</a:t>
          </a:r>
          <a:endParaRPr lang="en-US"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58A4D409-67D1-45D7-A5B5-0EFDC5106BCD}" type="parTrans" cxnId="{A2A15365-AB2A-4263-9896-B820CA5D38A3}">
      <dgm:prSet/>
      <dgm:spPr/>
      <dgm:t>
        <a:bodyPr/>
        <a:lstStyle/>
        <a:p>
          <a:endParaRPr lang="en-US"/>
        </a:p>
      </dgm:t>
    </dgm:pt>
    <dgm:pt modelId="{B4EB417E-0A44-4207-B9CA-5B65E2537CA0}" type="sibTrans" cxnId="{A2A15365-AB2A-4263-9896-B820CA5D38A3}">
      <dgm:prSet/>
      <dgm:spPr/>
      <dgm:t>
        <a:bodyPr/>
        <a:lstStyle/>
        <a:p>
          <a:endParaRPr lang="en-US"/>
        </a:p>
      </dgm:t>
    </dgm:pt>
    <dgm:pt modelId="{60CE67F5-42F3-47B0-9C82-5FA1FA5012A0}">
      <dgm:prSet phldrT="[Text]"/>
      <dgm:spPr>
        <a:xfrm>
          <a:off x="2049525" y="651527"/>
          <a:ext cx="3074289" cy="591870"/>
        </a:xfrm>
        <a:solidFill>
          <a:srgbClr val="9BBB59">
            <a:tint val="40000"/>
            <a:alpha val="90000"/>
            <a:hueOff val="2143370"/>
            <a:satOff val="-2759"/>
            <a:lumOff val="-215"/>
            <a:alphaOff val="0"/>
          </a:srgbClr>
        </a:solidFill>
        <a:ln w="9525" cap="flat" cmpd="sng" algn="ctr">
          <a:solidFill>
            <a:srgbClr val="9BBB59">
              <a:tint val="40000"/>
              <a:alpha val="90000"/>
              <a:hueOff val="2143370"/>
              <a:satOff val="-2759"/>
              <a:lumOff val="-215"/>
              <a:alphaOff val="0"/>
            </a:srgbClr>
          </a:solidFill>
          <a:prstDash val="solid"/>
        </a:ln>
        <a:effectLst/>
      </dgm:spPr>
      <dgm:t>
        <a:bodyPr/>
        <a:lstStyle/>
        <a:p>
          <a:pPr marL="442913" marR="0" indent="-266700" defTabSz="914400" eaLnBrk="1" fontAlgn="auto" latinLnBrk="0" hangingPunct="1">
            <a:lnSpc>
              <a:spcPct val="100000"/>
            </a:lnSpc>
            <a:spcBef>
              <a:spcPts val="0"/>
            </a:spcBef>
            <a:spcAft>
              <a:spcPts val="0"/>
            </a:spcAft>
            <a:buClrTx/>
            <a:buSzTx/>
            <a:buFontTx/>
            <a:buNone/>
            <a:tabLst/>
            <a:defRPr/>
          </a:pPr>
          <a:r>
            <a:rPr lang="bg-BG" dirty="0">
              <a:solidFill>
                <a:sysClr val="windowText" lastClr="000000">
                  <a:hueOff val="0"/>
                  <a:satOff val="0"/>
                  <a:lumOff val="0"/>
                  <a:alphaOff val="0"/>
                </a:sysClr>
              </a:solidFill>
              <a:latin typeface="Times New Roman" pitchFamily="18" charset="0"/>
              <a:ea typeface="+mn-ea"/>
              <a:cs typeface="Times New Roman" pitchFamily="18" charset="0"/>
            </a:rPr>
            <a:t>Съответствие със стратегии</a:t>
          </a:r>
          <a:endParaRPr lang="en-US"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BE8C3C51-98B8-41C4-8D78-8DC9325F34F0}" type="parTrans" cxnId="{58964D4B-2548-4986-8E28-35F1EDBAE572}">
      <dgm:prSet/>
      <dgm:spPr/>
      <dgm:t>
        <a:bodyPr/>
        <a:lstStyle/>
        <a:p>
          <a:endParaRPr lang="en-US"/>
        </a:p>
      </dgm:t>
    </dgm:pt>
    <dgm:pt modelId="{6E419726-0733-48B5-90A9-D56BDEE22CE1}" type="sibTrans" cxnId="{58964D4B-2548-4986-8E28-35F1EDBAE572}">
      <dgm:prSet/>
      <dgm:spPr/>
      <dgm:t>
        <a:bodyPr/>
        <a:lstStyle/>
        <a:p>
          <a:endParaRPr lang="en-US"/>
        </a:p>
      </dgm:t>
    </dgm:pt>
    <dgm:pt modelId="{66EB137A-84AE-4D2B-9ED5-F1E9095401FA}">
      <dgm:prSet phldrT="[Text]"/>
      <dgm:spPr>
        <a:xfrm>
          <a:off x="0" y="1302585"/>
          <a:ext cx="2049526" cy="591870"/>
        </a:xfrm>
        <a:gradFill rotWithShape="0">
          <a:gsLst>
            <a:gs pos="0">
              <a:srgbClr val="9BBB59">
                <a:hueOff val="4500106"/>
                <a:satOff val="-6752"/>
                <a:lumOff val="-1098"/>
                <a:alphaOff val="0"/>
                <a:shade val="51000"/>
                <a:satMod val="130000"/>
              </a:srgbClr>
            </a:gs>
            <a:gs pos="80000">
              <a:srgbClr val="9BBB59">
                <a:hueOff val="4500106"/>
                <a:satOff val="-6752"/>
                <a:lumOff val="-1098"/>
                <a:alphaOff val="0"/>
                <a:shade val="93000"/>
                <a:satMod val="130000"/>
              </a:srgbClr>
            </a:gs>
            <a:gs pos="100000">
              <a:srgbClr val="9BBB59">
                <a:hueOff val="4500106"/>
                <a:satOff val="-6752"/>
                <a:lumOff val="-1098"/>
                <a:alphaOff val="0"/>
                <a:shade val="94000"/>
                <a:satMod val="135000"/>
              </a:srgbClr>
            </a:gs>
          </a:gsLst>
          <a:lin ang="16200000" scaled="0"/>
        </a:gradFill>
        <a:ln>
          <a:noFill/>
        </a:ln>
        <a:effectLst>
          <a:outerShdw blurRad="40000" dist="23000" dir="5400000" rotWithShape="0">
            <a:srgbClr val="000000">
              <a:alpha val="35000"/>
            </a:srgbClr>
          </a:outerShdw>
        </a:effectLst>
      </dgm:spPr>
      <dgm:t>
        <a:bodyPr/>
        <a:lstStyle/>
        <a:p>
          <a:r>
            <a:rPr lang="bg-BG" i="0" dirty="0">
              <a:solidFill>
                <a:sysClr val="window" lastClr="FFFFFF"/>
              </a:solidFill>
              <a:latin typeface="Times New Roman" pitchFamily="18" charset="0"/>
              <a:ea typeface="+mn-ea"/>
              <a:cs typeface="Times New Roman" pitchFamily="18" charset="0"/>
            </a:rPr>
            <a:t>Финансиране</a:t>
          </a:r>
          <a:endParaRPr lang="en-US" i="0" dirty="0">
            <a:solidFill>
              <a:sysClr val="window" lastClr="FFFFFF"/>
            </a:solidFill>
            <a:latin typeface="Times New Roman" pitchFamily="18" charset="0"/>
            <a:ea typeface="+mn-ea"/>
            <a:cs typeface="Times New Roman" pitchFamily="18" charset="0"/>
          </a:endParaRPr>
        </a:p>
      </dgm:t>
    </dgm:pt>
    <dgm:pt modelId="{E0A6364C-2FFE-4E02-A917-71980FC166D4}" type="parTrans" cxnId="{19E44502-E738-48E8-8270-60F98D88F1E1}">
      <dgm:prSet/>
      <dgm:spPr/>
      <dgm:t>
        <a:bodyPr/>
        <a:lstStyle/>
        <a:p>
          <a:endParaRPr lang="en-US"/>
        </a:p>
      </dgm:t>
    </dgm:pt>
    <dgm:pt modelId="{2A59F98D-F07C-427D-83E3-54FAE8311748}" type="sibTrans" cxnId="{19E44502-E738-48E8-8270-60F98D88F1E1}">
      <dgm:prSet/>
      <dgm:spPr/>
      <dgm:t>
        <a:bodyPr/>
        <a:lstStyle/>
        <a:p>
          <a:endParaRPr lang="en-US"/>
        </a:p>
      </dgm:t>
    </dgm:pt>
    <dgm:pt modelId="{41F1DE28-A386-45B7-A997-B4533614B085}">
      <dgm:prSet phldrT="[Text]"/>
      <dgm:spPr>
        <a:xfrm>
          <a:off x="2049525" y="1302585"/>
          <a:ext cx="3074289" cy="591870"/>
        </a:xfrm>
        <a:solidFill>
          <a:srgbClr val="9BBB59">
            <a:tint val="40000"/>
            <a:alpha val="90000"/>
            <a:hueOff val="4286740"/>
            <a:satOff val="-5517"/>
            <a:lumOff val="-430"/>
            <a:alphaOff val="0"/>
          </a:srgbClr>
        </a:solidFill>
        <a:ln w="9525" cap="flat" cmpd="sng" algn="ctr">
          <a:solidFill>
            <a:srgbClr val="9BBB59">
              <a:tint val="40000"/>
              <a:alpha val="90000"/>
              <a:hueOff val="4286740"/>
              <a:satOff val="-5517"/>
              <a:lumOff val="-430"/>
              <a:alphaOff val="0"/>
            </a:srgbClr>
          </a:solidFill>
          <a:prstDash val="solid"/>
        </a:ln>
        <a:effectLst/>
      </dgm:spPr>
      <dgm:t>
        <a:bodyPr/>
        <a:lstStyle/>
        <a:p>
          <a:pPr marL="442913" indent="-266700"/>
          <a:r>
            <a:rPr lang="bg-BG" dirty="0">
              <a:solidFill>
                <a:sysClr val="windowText" lastClr="000000">
                  <a:hueOff val="0"/>
                  <a:satOff val="0"/>
                  <a:lumOff val="0"/>
                  <a:alphaOff val="0"/>
                </a:sysClr>
              </a:solidFill>
              <a:latin typeface="Times New Roman" pitchFamily="18" charset="0"/>
              <a:ea typeface="+mn-ea"/>
              <a:cs typeface="Times New Roman" pitchFamily="18" charset="0"/>
            </a:rPr>
            <a:t>Финансов план</a:t>
          </a:r>
          <a:endParaRPr lang="en-US"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18D30D97-A35A-408A-8C85-58F22B2C2032}" type="parTrans" cxnId="{9C4E7347-B468-4C2D-A71B-120DB480255E}">
      <dgm:prSet/>
      <dgm:spPr/>
      <dgm:t>
        <a:bodyPr/>
        <a:lstStyle/>
        <a:p>
          <a:endParaRPr lang="en-US"/>
        </a:p>
      </dgm:t>
    </dgm:pt>
    <dgm:pt modelId="{718581B1-5D40-4C8B-A56F-536284097B90}" type="sibTrans" cxnId="{9C4E7347-B468-4C2D-A71B-120DB480255E}">
      <dgm:prSet/>
      <dgm:spPr/>
      <dgm:t>
        <a:bodyPr/>
        <a:lstStyle/>
        <a:p>
          <a:endParaRPr lang="en-US"/>
        </a:p>
      </dgm:t>
    </dgm:pt>
    <dgm:pt modelId="{06A09D2C-8F74-4701-9086-C436276D88EF}">
      <dgm:prSet phldrT="[Text]"/>
      <dgm:spPr>
        <a:xfrm>
          <a:off x="0" y="1953643"/>
          <a:ext cx="2049526" cy="591870"/>
        </a:xfrm>
        <a:gradFill rotWithShape="0">
          <a:gsLst>
            <a:gs pos="0">
              <a:srgbClr val="9BBB59">
                <a:hueOff val="6750158"/>
                <a:satOff val="-10128"/>
                <a:lumOff val="-1647"/>
                <a:alphaOff val="0"/>
                <a:shade val="51000"/>
                <a:satMod val="130000"/>
              </a:srgbClr>
            </a:gs>
            <a:gs pos="80000">
              <a:srgbClr val="9BBB59">
                <a:hueOff val="6750158"/>
                <a:satOff val="-10128"/>
                <a:lumOff val="-1647"/>
                <a:alphaOff val="0"/>
                <a:shade val="93000"/>
                <a:satMod val="130000"/>
              </a:srgbClr>
            </a:gs>
            <a:gs pos="100000">
              <a:srgbClr val="9BBB59">
                <a:hueOff val="6750158"/>
                <a:satOff val="-10128"/>
                <a:lumOff val="-1647"/>
                <a:alphaOff val="0"/>
                <a:shade val="94000"/>
                <a:satMod val="135000"/>
              </a:srgbClr>
            </a:gs>
          </a:gsLst>
          <a:lin ang="16200000" scaled="0"/>
        </a:gradFill>
        <a:ln>
          <a:noFill/>
        </a:ln>
        <a:effectLst>
          <a:outerShdw blurRad="40000" dist="23000" dir="5400000" rotWithShape="0">
            <a:srgbClr val="000000">
              <a:alpha val="35000"/>
            </a:srgbClr>
          </a:outerShdw>
        </a:effectLst>
      </dgm:spPr>
      <dgm:t>
        <a:bodyPr/>
        <a:lstStyle/>
        <a:p>
          <a:r>
            <a:rPr lang="bg-BG" i="0" dirty="0">
              <a:solidFill>
                <a:sysClr val="window" lastClr="FFFFFF"/>
              </a:solidFill>
              <a:latin typeface="Times New Roman" pitchFamily="18" charset="0"/>
              <a:ea typeface="+mn-ea"/>
              <a:cs typeface="Times New Roman" pitchFamily="18" charset="0"/>
            </a:rPr>
            <a:t>Изпълнение</a:t>
          </a:r>
          <a:r>
            <a:rPr lang="bg-BG" i="1" dirty="0">
              <a:solidFill>
                <a:sysClr val="window" lastClr="FFFFFF"/>
              </a:solidFill>
              <a:latin typeface="Calibri"/>
              <a:ea typeface="+mn-ea"/>
              <a:cs typeface="+mn-cs"/>
            </a:rPr>
            <a:t>  </a:t>
          </a:r>
          <a:endParaRPr lang="en-US" dirty="0">
            <a:solidFill>
              <a:sysClr val="window" lastClr="FFFFFF"/>
            </a:solidFill>
            <a:latin typeface="Calibri"/>
            <a:ea typeface="+mn-ea"/>
            <a:cs typeface="+mn-cs"/>
          </a:endParaRPr>
        </a:p>
      </dgm:t>
    </dgm:pt>
    <dgm:pt modelId="{F5C6D6B0-92CD-4CC7-8F43-E31C3BC038CD}" type="parTrans" cxnId="{BF09F629-CB35-4489-913A-6143E700C8E9}">
      <dgm:prSet/>
      <dgm:spPr/>
      <dgm:t>
        <a:bodyPr/>
        <a:lstStyle/>
        <a:p>
          <a:endParaRPr lang="en-US"/>
        </a:p>
      </dgm:t>
    </dgm:pt>
    <dgm:pt modelId="{B840CA32-D53F-424E-B162-EA7FEAEA6E0A}" type="sibTrans" cxnId="{BF09F629-CB35-4489-913A-6143E700C8E9}">
      <dgm:prSet/>
      <dgm:spPr/>
      <dgm:t>
        <a:bodyPr/>
        <a:lstStyle/>
        <a:p>
          <a:endParaRPr lang="en-US"/>
        </a:p>
      </dgm:t>
    </dgm:pt>
    <dgm:pt modelId="{0D0CB8FE-5560-4BA6-BED3-882A532D24BE}">
      <dgm:prSet phldrT="[Text]"/>
      <dgm:spPr>
        <a:xfrm>
          <a:off x="2049525" y="1953643"/>
          <a:ext cx="3074289" cy="591870"/>
        </a:xfrm>
        <a:solidFill>
          <a:srgbClr val="9BBB59">
            <a:tint val="40000"/>
            <a:alpha val="90000"/>
            <a:hueOff val="6430110"/>
            <a:satOff val="-8276"/>
            <a:lumOff val="-645"/>
            <a:alphaOff val="0"/>
          </a:srgbClr>
        </a:solidFill>
        <a:ln w="9525" cap="flat" cmpd="sng" algn="ctr">
          <a:solidFill>
            <a:srgbClr val="9BBB59">
              <a:tint val="40000"/>
              <a:alpha val="90000"/>
              <a:hueOff val="6430110"/>
              <a:satOff val="-8276"/>
              <a:lumOff val="-645"/>
              <a:alphaOff val="0"/>
            </a:srgbClr>
          </a:solidFill>
          <a:prstDash val="solid"/>
        </a:ln>
        <a:effectLst/>
      </dgm:spPr>
      <dgm:t>
        <a:bodyPr/>
        <a:lstStyle/>
        <a:p>
          <a:pPr marL="442913" indent="-266700"/>
          <a:r>
            <a:rPr lang="bg-BG" dirty="0">
              <a:solidFill>
                <a:sysClr val="windowText" lastClr="000000">
                  <a:hueOff val="0"/>
                  <a:satOff val="0"/>
                  <a:lumOff val="0"/>
                  <a:alphaOff val="0"/>
                </a:sysClr>
              </a:solidFill>
              <a:latin typeface="Times New Roman" pitchFamily="18" charset="0"/>
              <a:ea typeface="+mn-ea"/>
              <a:cs typeface="Times New Roman" pitchFamily="18" charset="0"/>
            </a:rPr>
            <a:t>Обществени поръчки</a:t>
          </a:r>
          <a:endParaRPr lang="en-US" dirty="0">
            <a:solidFill>
              <a:sysClr val="windowText" lastClr="000000">
                <a:hueOff val="0"/>
                <a:satOff val="0"/>
                <a:lumOff val="0"/>
                <a:alphaOff val="0"/>
              </a:sysClr>
            </a:solidFill>
            <a:latin typeface="Times New Roman" pitchFamily="18" charset="0"/>
            <a:ea typeface="+mn-ea"/>
            <a:cs typeface="Times New Roman" pitchFamily="18" charset="0"/>
          </a:endParaRPr>
        </a:p>
      </dgm:t>
      <dgm:extLst>
        <a:ext uri="{E40237B7-FDA0-4F09-8148-C483321AD2D9}">
          <dgm14:cNvPr xmlns:dgm14="http://schemas.microsoft.com/office/drawing/2010/diagram" id="0" name="" descr="Vertical Chevron List" title="SmartArt"/>
        </a:ext>
      </dgm:extLst>
    </dgm:pt>
    <dgm:pt modelId="{5C60C6AC-FDCD-47B9-BD46-BAC185FE2A4C}" type="parTrans" cxnId="{7E44002E-2A4A-4738-A150-CC5725F35C45}">
      <dgm:prSet/>
      <dgm:spPr/>
      <dgm:t>
        <a:bodyPr/>
        <a:lstStyle/>
        <a:p>
          <a:endParaRPr lang="en-US"/>
        </a:p>
      </dgm:t>
    </dgm:pt>
    <dgm:pt modelId="{358E079C-97DF-45D8-83ED-EC5A7C49BD3C}" type="sibTrans" cxnId="{7E44002E-2A4A-4738-A150-CC5725F35C45}">
      <dgm:prSet/>
      <dgm:spPr/>
      <dgm:t>
        <a:bodyPr/>
        <a:lstStyle/>
        <a:p>
          <a:endParaRPr lang="en-US"/>
        </a:p>
      </dgm:t>
    </dgm:pt>
    <dgm:pt modelId="{6987DB38-62A1-4043-9CAF-E990B0BC77A0}">
      <dgm:prSet phldrT="[Text]"/>
      <dgm:spPr>
        <a:xfrm>
          <a:off x="0" y="2604701"/>
          <a:ext cx="2049526" cy="591870"/>
        </a:xfrm>
        <a:gradFill rotWithShape="0">
          <a:gsLst>
            <a:gs pos="0">
              <a:srgbClr val="9BBB59">
                <a:hueOff val="9000211"/>
                <a:satOff val="-13504"/>
                <a:lumOff val="-2196"/>
                <a:alphaOff val="0"/>
                <a:shade val="51000"/>
                <a:satMod val="130000"/>
              </a:srgbClr>
            </a:gs>
            <a:gs pos="80000">
              <a:srgbClr val="9BBB59">
                <a:hueOff val="9000211"/>
                <a:satOff val="-13504"/>
                <a:lumOff val="-2196"/>
                <a:alphaOff val="0"/>
                <a:shade val="93000"/>
                <a:satMod val="130000"/>
              </a:srgbClr>
            </a:gs>
            <a:gs pos="100000">
              <a:srgbClr val="9BBB59">
                <a:hueOff val="9000211"/>
                <a:satOff val="-13504"/>
                <a:lumOff val="-2196"/>
                <a:alphaOff val="0"/>
                <a:shade val="94000"/>
                <a:satMod val="135000"/>
              </a:srgbClr>
            </a:gs>
          </a:gsLst>
          <a:lin ang="16200000" scaled="0"/>
        </a:gradFill>
        <a:ln>
          <a:noFill/>
        </a:ln>
        <a:effectLst>
          <a:outerShdw blurRad="40000" dist="23000" dir="5400000" rotWithShape="0">
            <a:srgbClr val="000000">
              <a:alpha val="35000"/>
            </a:srgbClr>
          </a:outerShdw>
        </a:effectLst>
      </dgm:spPr>
      <dgm:t>
        <a:bodyPr/>
        <a:lstStyle/>
        <a:p>
          <a:r>
            <a:rPr lang="bg-BG" dirty="0">
              <a:solidFill>
                <a:sysClr val="window" lastClr="FFFFFF"/>
              </a:solidFill>
              <a:latin typeface="Times New Roman" pitchFamily="18" charset="0"/>
              <a:ea typeface="+mn-ea"/>
              <a:cs typeface="Times New Roman" pitchFamily="18" charset="0"/>
            </a:rPr>
            <a:t>Оценка</a:t>
          </a:r>
          <a:endParaRPr lang="en-US" dirty="0">
            <a:solidFill>
              <a:sysClr val="window" lastClr="FFFFFF"/>
            </a:solidFill>
            <a:latin typeface="Times New Roman" pitchFamily="18" charset="0"/>
            <a:ea typeface="+mn-ea"/>
            <a:cs typeface="Times New Roman" pitchFamily="18" charset="0"/>
          </a:endParaRPr>
        </a:p>
      </dgm:t>
    </dgm:pt>
    <dgm:pt modelId="{F759B2DF-092C-44E0-8994-FF9031F2A011}" type="parTrans" cxnId="{C18C4CFD-917C-41B0-9DDB-D2842D2E8D04}">
      <dgm:prSet/>
      <dgm:spPr/>
      <dgm:t>
        <a:bodyPr/>
        <a:lstStyle/>
        <a:p>
          <a:endParaRPr lang="bg-BG"/>
        </a:p>
      </dgm:t>
    </dgm:pt>
    <dgm:pt modelId="{7173B3B8-D13D-42A9-85DD-E4627DBDE7E5}" type="sibTrans" cxnId="{C18C4CFD-917C-41B0-9DDB-D2842D2E8D04}">
      <dgm:prSet/>
      <dgm:spPr/>
      <dgm:t>
        <a:bodyPr/>
        <a:lstStyle/>
        <a:p>
          <a:endParaRPr lang="bg-BG"/>
        </a:p>
      </dgm:t>
    </dgm:pt>
    <dgm:pt modelId="{B13ABEB3-7971-4771-9766-96C74D1AE025}">
      <dgm:prSet phldrT="[Text]"/>
      <dgm:spPr>
        <a:xfrm>
          <a:off x="0" y="651527"/>
          <a:ext cx="2049526" cy="591870"/>
        </a:xfrm>
        <a:gradFill rotWithShape="0">
          <a:gsLst>
            <a:gs pos="0">
              <a:srgbClr val="9BBB59">
                <a:hueOff val="2250053"/>
                <a:satOff val="-3376"/>
                <a:lumOff val="-549"/>
                <a:alphaOff val="0"/>
                <a:shade val="51000"/>
                <a:satMod val="130000"/>
              </a:srgbClr>
            </a:gs>
            <a:gs pos="80000">
              <a:srgbClr val="9BBB59">
                <a:hueOff val="2250053"/>
                <a:satOff val="-3376"/>
                <a:lumOff val="-549"/>
                <a:alphaOff val="0"/>
                <a:shade val="93000"/>
                <a:satMod val="130000"/>
              </a:srgbClr>
            </a:gs>
            <a:gs pos="100000">
              <a:srgbClr val="9BBB59">
                <a:hueOff val="2250053"/>
                <a:satOff val="-3376"/>
                <a:lumOff val="-549"/>
                <a:alphaOff val="0"/>
                <a:shade val="94000"/>
                <a:satMod val="135000"/>
              </a:srgbClr>
            </a:gs>
          </a:gsLst>
          <a:lin ang="16200000" scaled="0"/>
        </a:gradFill>
        <a:ln>
          <a:noFill/>
        </a:ln>
        <a:effectLst>
          <a:outerShdw blurRad="40000" dist="23000" dir="5400000" rotWithShape="0">
            <a:srgbClr val="000000">
              <a:alpha val="35000"/>
            </a:srgbClr>
          </a:outerShdw>
        </a:effectLst>
      </dgm:spPr>
      <dgm:t>
        <a:bodyPr/>
        <a:lstStyle/>
        <a:p>
          <a:pPr marL="442913" marR="0" indent="-266700" algn="l" defTabSz="914400" eaLnBrk="1" fontAlgn="auto" latinLnBrk="0" hangingPunct="1">
            <a:lnSpc>
              <a:spcPct val="100000"/>
            </a:lnSpc>
            <a:spcBef>
              <a:spcPts val="0"/>
            </a:spcBef>
            <a:spcAft>
              <a:spcPts val="0"/>
            </a:spcAft>
            <a:buClrTx/>
            <a:buSzTx/>
            <a:buFontTx/>
            <a:buNone/>
            <a:tabLst/>
            <a:defRPr/>
          </a:pPr>
          <a:r>
            <a:rPr lang="bg-BG" dirty="0">
              <a:solidFill>
                <a:sysClr val="window" lastClr="FFFFFF"/>
              </a:solidFill>
              <a:latin typeface="Times New Roman" pitchFamily="18" charset="0"/>
              <a:ea typeface="+mn-ea"/>
              <a:cs typeface="Times New Roman" pitchFamily="18" charset="0"/>
            </a:rPr>
            <a:t>Формулиране на проектно предложение</a:t>
          </a:r>
          <a:endParaRPr lang="en-US" dirty="0">
            <a:solidFill>
              <a:sysClr val="window" lastClr="FFFFFF"/>
            </a:solidFill>
            <a:latin typeface="Times New Roman" pitchFamily="18" charset="0"/>
            <a:ea typeface="+mn-ea"/>
            <a:cs typeface="Times New Roman" pitchFamily="18" charset="0"/>
          </a:endParaRPr>
        </a:p>
      </dgm:t>
    </dgm:pt>
    <dgm:pt modelId="{8C0BFEE4-4CEC-43C5-AFC4-E409672A1318}" type="parTrans" cxnId="{99FBCEA4-238A-4B29-BFB3-4DABE4DEEAAF}">
      <dgm:prSet/>
      <dgm:spPr/>
      <dgm:t>
        <a:bodyPr/>
        <a:lstStyle/>
        <a:p>
          <a:endParaRPr lang="bg-BG"/>
        </a:p>
      </dgm:t>
    </dgm:pt>
    <dgm:pt modelId="{54BE9B80-2BD5-43C7-902A-8BC42AE530B3}" type="sibTrans" cxnId="{99FBCEA4-238A-4B29-BFB3-4DABE4DEEAAF}">
      <dgm:prSet/>
      <dgm:spPr/>
      <dgm:t>
        <a:bodyPr/>
        <a:lstStyle/>
        <a:p>
          <a:endParaRPr lang="bg-BG"/>
        </a:p>
      </dgm:t>
    </dgm:pt>
    <dgm:pt modelId="{390F8EE7-62E7-435D-BB16-94D09375F0BA}">
      <dgm:prSet phldrT="[Text]"/>
      <dgm:spPr>
        <a:xfrm>
          <a:off x="2049525" y="1302585"/>
          <a:ext cx="3074289" cy="591870"/>
        </a:xfrm>
        <a:solidFill>
          <a:srgbClr val="9BBB59">
            <a:tint val="40000"/>
            <a:alpha val="90000"/>
            <a:hueOff val="4286740"/>
            <a:satOff val="-5517"/>
            <a:lumOff val="-430"/>
            <a:alphaOff val="0"/>
          </a:srgbClr>
        </a:solidFill>
        <a:ln w="9525" cap="flat" cmpd="sng" algn="ctr">
          <a:solidFill>
            <a:srgbClr val="9BBB59">
              <a:tint val="40000"/>
              <a:alpha val="90000"/>
              <a:hueOff val="4286740"/>
              <a:satOff val="-5517"/>
              <a:lumOff val="-430"/>
              <a:alphaOff val="0"/>
            </a:srgbClr>
          </a:solidFill>
          <a:prstDash val="solid"/>
        </a:ln>
        <a:effectLst/>
      </dgm:spPr>
      <dgm:t>
        <a:bodyPr/>
        <a:lstStyle/>
        <a:p>
          <a:pPr marL="442913" indent="-266700"/>
          <a:r>
            <a:rPr lang="bg-BG" dirty="0">
              <a:solidFill>
                <a:sysClr val="windowText" lastClr="000000">
                  <a:hueOff val="0"/>
                  <a:satOff val="0"/>
                  <a:lumOff val="0"/>
                  <a:alphaOff val="0"/>
                </a:sysClr>
              </a:solidFill>
              <a:latin typeface="Times New Roman" pitchFamily="18" charset="0"/>
              <a:ea typeface="+mn-ea"/>
              <a:cs typeface="Times New Roman" pitchFamily="18" charset="0"/>
            </a:rPr>
            <a:t>Източници на финансиране</a:t>
          </a:r>
          <a:endParaRPr lang="en-US"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60E217AB-1D6D-4F82-A9E9-D853E71135C0}" type="parTrans" cxnId="{5257BBE2-56E6-479A-9030-4EFEA664AD82}">
      <dgm:prSet/>
      <dgm:spPr/>
      <dgm:t>
        <a:bodyPr/>
        <a:lstStyle/>
        <a:p>
          <a:endParaRPr lang="bg-BG"/>
        </a:p>
      </dgm:t>
    </dgm:pt>
    <dgm:pt modelId="{5329035C-0351-42F0-B76E-3A8123C8B52C}" type="sibTrans" cxnId="{5257BBE2-56E6-479A-9030-4EFEA664AD82}">
      <dgm:prSet/>
      <dgm:spPr/>
      <dgm:t>
        <a:bodyPr/>
        <a:lstStyle/>
        <a:p>
          <a:endParaRPr lang="bg-BG"/>
        </a:p>
      </dgm:t>
    </dgm:pt>
    <dgm:pt modelId="{2266BF3C-AC31-4AA6-BF65-57CC017512BE}">
      <dgm:prSet phldrT="[Text]"/>
      <dgm:spPr>
        <a:xfrm>
          <a:off x="2049525" y="651527"/>
          <a:ext cx="3074289" cy="591870"/>
        </a:xfrm>
        <a:solidFill>
          <a:srgbClr val="9BBB59">
            <a:tint val="40000"/>
            <a:alpha val="90000"/>
            <a:hueOff val="2143370"/>
            <a:satOff val="-2759"/>
            <a:lumOff val="-215"/>
            <a:alphaOff val="0"/>
          </a:srgbClr>
        </a:solidFill>
        <a:ln w="9525" cap="flat" cmpd="sng" algn="ctr">
          <a:solidFill>
            <a:srgbClr val="9BBB59">
              <a:tint val="40000"/>
              <a:alpha val="90000"/>
              <a:hueOff val="2143370"/>
              <a:satOff val="-2759"/>
              <a:lumOff val="-215"/>
              <a:alphaOff val="0"/>
            </a:srgbClr>
          </a:solidFill>
          <a:prstDash val="solid"/>
        </a:ln>
        <a:effectLst/>
      </dgm:spPr>
      <dgm:t>
        <a:bodyPr/>
        <a:lstStyle/>
        <a:p>
          <a:pPr marL="442913" marR="0" indent="-266700" defTabSz="914400" eaLnBrk="1" fontAlgn="auto" latinLnBrk="0" hangingPunct="1">
            <a:lnSpc>
              <a:spcPct val="100000"/>
            </a:lnSpc>
            <a:spcBef>
              <a:spcPts val="0"/>
            </a:spcBef>
            <a:spcAft>
              <a:spcPts val="0"/>
            </a:spcAft>
            <a:buClrTx/>
            <a:buSzTx/>
            <a:buFontTx/>
            <a:buNone/>
            <a:tabLst/>
            <a:defRPr/>
          </a:pPr>
          <a:r>
            <a:rPr lang="bg-BG" dirty="0">
              <a:solidFill>
                <a:sysClr val="windowText" lastClr="000000">
                  <a:hueOff val="0"/>
                  <a:satOff val="0"/>
                  <a:lumOff val="0"/>
                  <a:alphaOff val="0"/>
                </a:sysClr>
              </a:solidFill>
              <a:latin typeface="Times New Roman" pitchFamily="18" charset="0"/>
              <a:ea typeface="+mn-ea"/>
              <a:cs typeface="Times New Roman" pitchFamily="18" charset="0"/>
            </a:rPr>
            <a:t>ОВОС</a:t>
          </a:r>
          <a:endParaRPr lang="en-US"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E0F9E583-0765-431A-8A38-883C29F42A28}" type="parTrans" cxnId="{20D2290E-23E9-4461-B3D2-CB3AD74E14E5}">
      <dgm:prSet/>
      <dgm:spPr/>
      <dgm:t>
        <a:bodyPr/>
        <a:lstStyle/>
        <a:p>
          <a:endParaRPr lang="bg-BG"/>
        </a:p>
      </dgm:t>
    </dgm:pt>
    <dgm:pt modelId="{56811E36-84A4-4B4F-BE88-8B97FE18070F}" type="sibTrans" cxnId="{20D2290E-23E9-4461-B3D2-CB3AD74E14E5}">
      <dgm:prSet/>
      <dgm:spPr/>
      <dgm:t>
        <a:bodyPr/>
        <a:lstStyle/>
        <a:p>
          <a:endParaRPr lang="bg-BG"/>
        </a:p>
      </dgm:t>
    </dgm:pt>
    <dgm:pt modelId="{4DEF05B1-B1A7-4BB8-A55E-200EB78B64A8}">
      <dgm:prSet phldrT="[Text]"/>
      <dgm:spPr>
        <a:xfrm>
          <a:off x="2049525" y="651527"/>
          <a:ext cx="3074289" cy="591870"/>
        </a:xfrm>
        <a:solidFill>
          <a:srgbClr val="9BBB59">
            <a:tint val="40000"/>
            <a:alpha val="90000"/>
            <a:hueOff val="2143370"/>
            <a:satOff val="-2759"/>
            <a:lumOff val="-215"/>
            <a:alphaOff val="0"/>
          </a:srgbClr>
        </a:solidFill>
        <a:ln w="9525" cap="flat" cmpd="sng" algn="ctr">
          <a:solidFill>
            <a:srgbClr val="9BBB59">
              <a:tint val="40000"/>
              <a:alpha val="90000"/>
              <a:hueOff val="2143370"/>
              <a:satOff val="-2759"/>
              <a:lumOff val="-215"/>
              <a:alphaOff val="0"/>
            </a:srgbClr>
          </a:solidFill>
          <a:prstDash val="solid"/>
        </a:ln>
        <a:effectLst/>
      </dgm:spPr>
      <dgm:t>
        <a:bodyPr/>
        <a:lstStyle/>
        <a:p>
          <a:pPr marL="442913" marR="0" indent="-266700" defTabSz="914400" eaLnBrk="1" fontAlgn="auto" latinLnBrk="0" hangingPunct="1">
            <a:lnSpc>
              <a:spcPct val="100000"/>
            </a:lnSpc>
            <a:spcBef>
              <a:spcPts val="0"/>
            </a:spcBef>
            <a:spcAft>
              <a:spcPts val="0"/>
            </a:spcAft>
            <a:buClrTx/>
            <a:buSzTx/>
            <a:buFontTx/>
            <a:buNone/>
            <a:tabLst/>
            <a:defRPr/>
          </a:pPr>
          <a:r>
            <a:rPr lang="bg-BG" dirty="0">
              <a:solidFill>
                <a:sysClr val="windowText" lastClr="000000">
                  <a:hueOff val="0"/>
                  <a:satOff val="0"/>
                  <a:lumOff val="0"/>
                  <a:alphaOff val="0"/>
                </a:sysClr>
              </a:solidFill>
              <a:latin typeface="Times New Roman" pitchFamily="18" charset="0"/>
              <a:ea typeface="+mn-ea"/>
              <a:cs typeface="Times New Roman" pitchFamily="18" charset="0"/>
            </a:rPr>
            <a:t>Анализ „Разходи</a:t>
          </a:r>
          <a:r>
            <a:rPr lang="en-US" dirty="0">
              <a:solidFill>
                <a:sysClr val="windowText" lastClr="000000">
                  <a:hueOff val="0"/>
                  <a:satOff val="0"/>
                  <a:lumOff val="0"/>
                  <a:alphaOff val="0"/>
                </a:sysClr>
              </a:solidFill>
              <a:latin typeface="Times New Roman" pitchFamily="18" charset="0"/>
              <a:ea typeface="+mn-ea"/>
              <a:cs typeface="Times New Roman" pitchFamily="18" charset="0"/>
            </a:rPr>
            <a:t> </a:t>
          </a:r>
          <a:r>
            <a:rPr lang="bg-BG" dirty="0">
              <a:solidFill>
                <a:sysClr val="windowText" lastClr="000000">
                  <a:hueOff val="0"/>
                  <a:satOff val="0"/>
                  <a:lumOff val="0"/>
                  <a:alphaOff val="0"/>
                </a:sysClr>
              </a:solidFill>
              <a:latin typeface="Times New Roman" pitchFamily="18" charset="0"/>
              <a:ea typeface="+mn-ea"/>
              <a:cs typeface="Times New Roman" pitchFamily="18" charset="0"/>
            </a:rPr>
            <a:t>ползи“</a:t>
          </a:r>
          <a:endParaRPr lang="en-US"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44CC17A6-12FF-49EF-ACFD-492733DAA23F}" type="parTrans" cxnId="{E0750B28-6EF3-4DAF-88B3-D7B7694D2266}">
      <dgm:prSet/>
      <dgm:spPr/>
      <dgm:t>
        <a:bodyPr/>
        <a:lstStyle/>
        <a:p>
          <a:endParaRPr lang="bg-BG"/>
        </a:p>
      </dgm:t>
    </dgm:pt>
    <dgm:pt modelId="{89061947-7DCD-43ED-B3FB-3C6F5DA8F8AE}" type="sibTrans" cxnId="{E0750B28-6EF3-4DAF-88B3-D7B7694D2266}">
      <dgm:prSet/>
      <dgm:spPr/>
      <dgm:t>
        <a:bodyPr/>
        <a:lstStyle/>
        <a:p>
          <a:endParaRPr lang="bg-BG"/>
        </a:p>
      </dgm:t>
    </dgm:pt>
    <dgm:pt modelId="{E9BE0F1D-3D02-4ED1-9B8A-FDEEDBDE1E5E}">
      <dgm:prSet phldrT="[Text]"/>
      <dgm:spPr>
        <a:xfrm>
          <a:off x="2049525" y="1302585"/>
          <a:ext cx="3074289" cy="591870"/>
        </a:xfrm>
        <a:solidFill>
          <a:srgbClr val="9BBB59">
            <a:tint val="40000"/>
            <a:alpha val="90000"/>
            <a:hueOff val="4286740"/>
            <a:satOff val="-5517"/>
            <a:lumOff val="-430"/>
            <a:alphaOff val="0"/>
          </a:srgbClr>
        </a:solidFill>
        <a:ln w="9525" cap="flat" cmpd="sng" algn="ctr">
          <a:solidFill>
            <a:srgbClr val="9BBB59">
              <a:tint val="40000"/>
              <a:alpha val="90000"/>
              <a:hueOff val="4286740"/>
              <a:satOff val="-5517"/>
              <a:lumOff val="-430"/>
              <a:alphaOff val="0"/>
            </a:srgbClr>
          </a:solidFill>
          <a:prstDash val="solid"/>
        </a:ln>
        <a:effectLst/>
      </dgm:spPr>
      <dgm:t>
        <a:bodyPr/>
        <a:lstStyle/>
        <a:p>
          <a:pPr marL="442913" indent="-266700"/>
          <a:r>
            <a:rPr lang="bg-BG" dirty="0">
              <a:solidFill>
                <a:sysClr val="windowText" lastClr="000000">
                  <a:hueOff val="0"/>
                  <a:satOff val="0"/>
                  <a:lumOff val="0"/>
                  <a:alphaOff val="0"/>
                </a:sysClr>
              </a:solidFill>
              <a:latin typeface="Times New Roman" pitchFamily="18" charset="0"/>
              <a:ea typeface="+mn-ea"/>
              <a:cs typeface="Times New Roman" pitchFamily="18" charset="0"/>
            </a:rPr>
            <a:t>Договор за БФП</a:t>
          </a:r>
          <a:endParaRPr lang="en-US"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C8E76656-B996-4164-9B65-26F555D38CF2}" type="parTrans" cxnId="{C4DF7017-CB99-4DDC-911D-33A4B589AF44}">
      <dgm:prSet/>
      <dgm:spPr/>
      <dgm:t>
        <a:bodyPr/>
        <a:lstStyle/>
        <a:p>
          <a:endParaRPr lang="bg-BG"/>
        </a:p>
      </dgm:t>
    </dgm:pt>
    <dgm:pt modelId="{5D3D5DE2-91B6-4437-BA9D-227B1D369444}" type="sibTrans" cxnId="{C4DF7017-CB99-4DDC-911D-33A4B589AF44}">
      <dgm:prSet/>
      <dgm:spPr/>
      <dgm:t>
        <a:bodyPr/>
        <a:lstStyle/>
        <a:p>
          <a:endParaRPr lang="bg-BG"/>
        </a:p>
      </dgm:t>
    </dgm:pt>
    <dgm:pt modelId="{31FDDA5E-2013-4C9A-BE76-1DB721D3FE4F}">
      <dgm:prSet phldrT="[Text]"/>
      <dgm:spPr>
        <a:xfrm>
          <a:off x="2049525" y="1953643"/>
          <a:ext cx="3074289" cy="591870"/>
        </a:xfrm>
        <a:solidFill>
          <a:srgbClr val="9BBB59">
            <a:tint val="40000"/>
            <a:alpha val="90000"/>
            <a:hueOff val="6430110"/>
            <a:satOff val="-8276"/>
            <a:lumOff val="-645"/>
            <a:alphaOff val="0"/>
          </a:srgbClr>
        </a:solidFill>
        <a:ln w="9525" cap="flat" cmpd="sng" algn="ctr">
          <a:solidFill>
            <a:srgbClr val="9BBB59">
              <a:tint val="40000"/>
              <a:alpha val="90000"/>
              <a:hueOff val="6430110"/>
              <a:satOff val="-8276"/>
              <a:lumOff val="-645"/>
              <a:alphaOff val="0"/>
            </a:srgbClr>
          </a:solidFill>
          <a:prstDash val="solid"/>
        </a:ln>
        <a:effectLst/>
      </dgm:spPr>
      <dgm:t>
        <a:bodyPr/>
        <a:lstStyle/>
        <a:p>
          <a:pPr marL="442913" indent="-266700"/>
          <a:r>
            <a:rPr lang="bg-BG" dirty="0">
              <a:solidFill>
                <a:sysClr val="windowText" lastClr="000000">
                  <a:hueOff val="0"/>
                  <a:satOff val="0"/>
                  <a:lumOff val="0"/>
                  <a:alphaOff val="0"/>
                </a:sysClr>
              </a:solidFill>
              <a:latin typeface="Times New Roman" pitchFamily="18" charset="0"/>
              <a:ea typeface="+mn-ea"/>
              <a:cs typeface="Times New Roman" pitchFamily="18" charset="0"/>
            </a:rPr>
            <a:t>Плащания</a:t>
          </a:r>
          <a:endParaRPr lang="en-US"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666C5441-1B47-4A58-B622-416FE5C2FCCF}" type="parTrans" cxnId="{B162044B-23BD-410B-B91C-95A0C8F33E6C}">
      <dgm:prSet/>
      <dgm:spPr/>
      <dgm:t>
        <a:bodyPr/>
        <a:lstStyle/>
        <a:p>
          <a:endParaRPr lang="bg-BG"/>
        </a:p>
      </dgm:t>
    </dgm:pt>
    <dgm:pt modelId="{E452E4E5-FEDB-4D8F-A72A-65789A65E3AD}" type="sibTrans" cxnId="{B162044B-23BD-410B-B91C-95A0C8F33E6C}">
      <dgm:prSet/>
      <dgm:spPr/>
      <dgm:t>
        <a:bodyPr/>
        <a:lstStyle/>
        <a:p>
          <a:endParaRPr lang="bg-BG"/>
        </a:p>
      </dgm:t>
    </dgm:pt>
    <dgm:pt modelId="{56CAE11A-489F-43D0-8C6B-638ABFA0318D}">
      <dgm:prSet phldrT="[Text]"/>
      <dgm:spPr>
        <a:xfrm>
          <a:off x="2049525" y="1953643"/>
          <a:ext cx="3074289" cy="591870"/>
        </a:xfrm>
        <a:solidFill>
          <a:srgbClr val="9BBB59">
            <a:tint val="40000"/>
            <a:alpha val="90000"/>
            <a:hueOff val="6430110"/>
            <a:satOff val="-8276"/>
            <a:lumOff val="-645"/>
            <a:alphaOff val="0"/>
          </a:srgbClr>
        </a:solidFill>
        <a:ln w="9525" cap="flat" cmpd="sng" algn="ctr">
          <a:solidFill>
            <a:srgbClr val="9BBB59">
              <a:tint val="40000"/>
              <a:alpha val="90000"/>
              <a:hueOff val="6430110"/>
              <a:satOff val="-8276"/>
              <a:lumOff val="-645"/>
              <a:alphaOff val="0"/>
            </a:srgbClr>
          </a:solidFill>
          <a:prstDash val="solid"/>
        </a:ln>
        <a:effectLst/>
      </dgm:spPr>
      <dgm:t>
        <a:bodyPr/>
        <a:lstStyle/>
        <a:p>
          <a:pPr marL="442913" indent="-266700"/>
          <a:r>
            <a:rPr lang="bg-BG" dirty="0">
              <a:solidFill>
                <a:sysClr val="windowText" lastClr="000000">
                  <a:hueOff val="0"/>
                  <a:satOff val="0"/>
                  <a:lumOff val="0"/>
                  <a:alphaOff val="0"/>
                </a:sysClr>
              </a:solidFill>
              <a:latin typeface="Times New Roman" pitchFamily="18" charset="0"/>
              <a:ea typeface="+mn-ea"/>
              <a:cs typeface="Times New Roman" pitchFamily="18" charset="0"/>
            </a:rPr>
            <a:t>Контрол по изпълнението</a:t>
          </a:r>
          <a:endParaRPr lang="en-US"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4FA1AD06-F8FF-4AAE-8341-1CC49AA523E8}" type="parTrans" cxnId="{6539567B-F0DD-4F99-891C-A3D68F7F6249}">
      <dgm:prSet/>
      <dgm:spPr/>
      <dgm:t>
        <a:bodyPr/>
        <a:lstStyle/>
        <a:p>
          <a:endParaRPr lang="bg-BG"/>
        </a:p>
      </dgm:t>
    </dgm:pt>
    <dgm:pt modelId="{F9C7043D-956B-4052-8A32-447E08BB6974}" type="sibTrans" cxnId="{6539567B-F0DD-4F99-891C-A3D68F7F6249}">
      <dgm:prSet/>
      <dgm:spPr/>
      <dgm:t>
        <a:bodyPr/>
        <a:lstStyle/>
        <a:p>
          <a:endParaRPr lang="bg-BG"/>
        </a:p>
      </dgm:t>
    </dgm:pt>
    <dgm:pt modelId="{2244DDA4-9F8E-4BE0-B8C8-2EB2E481E94F}">
      <dgm:prSet/>
      <dgm:spPr>
        <a:xfrm>
          <a:off x="2049525" y="2604701"/>
          <a:ext cx="3074289" cy="591870"/>
        </a:xfrm>
        <a:solidFill>
          <a:srgbClr val="9BBB59">
            <a:tint val="40000"/>
            <a:alpha val="90000"/>
            <a:hueOff val="8573481"/>
            <a:satOff val="-11034"/>
            <a:lumOff val="-860"/>
            <a:alphaOff val="0"/>
          </a:srgbClr>
        </a:solidFill>
        <a:ln w="9525" cap="flat" cmpd="sng" algn="ctr">
          <a:solidFill>
            <a:srgbClr val="9BBB59">
              <a:tint val="40000"/>
              <a:alpha val="90000"/>
              <a:hueOff val="8573481"/>
              <a:satOff val="-11034"/>
              <a:lumOff val="-860"/>
              <a:alphaOff val="0"/>
            </a:srgbClr>
          </a:solidFill>
          <a:prstDash val="solid"/>
        </a:ln>
        <a:effectLst/>
      </dgm:spPr>
      <dgm:t>
        <a:bodyPr/>
        <a:lstStyle/>
        <a:p>
          <a:pPr marL="442913" indent="-266700"/>
          <a:r>
            <a:rPr lang="bg-BG" dirty="0">
              <a:solidFill>
                <a:sysClr val="windowText" lastClr="000000">
                  <a:hueOff val="0"/>
                  <a:satOff val="0"/>
                  <a:lumOff val="0"/>
                  <a:alphaOff val="0"/>
                </a:sysClr>
              </a:solidFill>
              <a:latin typeface="Times New Roman" pitchFamily="18" charset="0"/>
              <a:ea typeface="+mn-ea"/>
              <a:cs typeface="Times New Roman" pitchFamily="18" charset="0"/>
            </a:rPr>
            <a:t>Окончателен доклад</a:t>
          </a:r>
          <a:endParaRPr lang="bg-BG" dirty="0">
            <a:solidFill>
              <a:sysClr val="windowText" lastClr="000000">
                <a:hueOff val="0"/>
                <a:satOff val="0"/>
                <a:lumOff val="0"/>
                <a:alphaOff val="0"/>
              </a:sysClr>
            </a:solidFill>
            <a:latin typeface="Calibri"/>
            <a:ea typeface="+mn-ea"/>
            <a:cs typeface="+mn-cs"/>
          </a:endParaRPr>
        </a:p>
      </dgm:t>
    </dgm:pt>
    <dgm:pt modelId="{EBD4D06F-BECE-41A8-8B19-9E92D05DCFDC}" type="parTrans" cxnId="{729F3A18-7E29-4A43-9285-2484CD2D88F5}">
      <dgm:prSet/>
      <dgm:spPr/>
      <dgm:t>
        <a:bodyPr/>
        <a:lstStyle/>
        <a:p>
          <a:endParaRPr lang="bg-BG"/>
        </a:p>
      </dgm:t>
    </dgm:pt>
    <dgm:pt modelId="{ED96984A-BCD5-4983-91FF-A3269466CFCA}" type="sibTrans" cxnId="{729F3A18-7E29-4A43-9285-2484CD2D88F5}">
      <dgm:prSet/>
      <dgm:spPr/>
      <dgm:t>
        <a:bodyPr/>
        <a:lstStyle/>
        <a:p>
          <a:endParaRPr lang="bg-BG"/>
        </a:p>
      </dgm:t>
    </dgm:pt>
    <dgm:pt modelId="{D5BA6205-2A12-4D54-BAA1-7CD9B51B14B2}">
      <dgm:prSet/>
      <dgm:spPr>
        <a:xfrm>
          <a:off x="0" y="3255759"/>
          <a:ext cx="2049526" cy="591870"/>
        </a:xfrm>
        <a:gradFill rotWithShape="0">
          <a:gsLst>
            <a:gs pos="0">
              <a:srgbClr val="9BBB59">
                <a:hueOff val="11250264"/>
                <a:satOff val="-16880"/>
                <a:lumOff val="-2745"/>
                <a:alphaOff val="0"/>
                <a:shade val="51000"/>
                <a:satMod val="130000"/>
              </a:srgbClr>
            </a:gs>
            <a:gs pos="80000">
              <a:srgbClr val="9BBB59">
                <a:hueOff val="11250264"/>
                <a:satOff val="-16880"/>
                <a:lumOff val="-2745"/>
                <a:alphaOff val="0"/>
                <a:shade val="93000"/>
                <a:satMod val="130000"/>
              </a:srgbClr>
            </a:gs>
            <a:gs pos="100000">
              <a:srgbClr val="9BBB59">
                <a:hueOff val="11250264"/>
                <a:satOff val="-16880"/>
                <a:lumOff val="-2745"/>
                <a:alphaOff val="0"/>
                <a:shade val="94000"/>
                <a:satMod val="135000"/>
              </a:srgbClr>
            </a:gs>
          </a:gsLst>
          <a:lin ang="16200000" scaled="0"/>
        </a:gradFill>
        <a:ln>
          <a:noFill/>
        </a:ln>
        <a:effectLst>
          <a:outerShdw blurRad="40000" dist="23000" dir="5400000" rotWithShape="0">
            <a:srgbClr val="000000">
              <a:alpha val="35000"/>
            </a:srgbClr>
          </a:outerShdw>
        </a:effectLst>
      </dgm:spPr>
      <dgm:t>
        <a:bodyPr/>
        <a:lstStyle/>
        <a:p>
          <a:pPr marL="442913" indent="-266700"/>
          <a:r>
            <a:rPr lang="bg-BG" dirty="0">
              <a:solidFill>
                <a:sysClr val="window" lastClr="FFFFFF"/>
              </a:solidFill>
              <a:latin typeface="Times New Roman" pitchFamily="18" charset="0"/>
              <a:ea typeface="+mn-ea"/>
              <a:cs typeface="Times New Roman" pitchFamily="18" charset="0"/>
            </a:rPr>
            <a:t>Приключване </a:t>
          </a:r>
          <a:endParaRPr lang="bg-BG" dirty="0">
            <a:solidFill>
              <a:sysClr val="window" lastClr="FFFFFF"/>
            </a:solidFill>
            <a:latin typeface="Calibri"/>
            <a:ea typeface="+mn-ea"/>
            <a:cs typeface="+mn-cs"/>
          </a:endParaRPr>
        </a:p>
      </dgm:t>
    </dgm:pt>
    <dgm:pt modelId="{CDF69912-9D3E-4C7C-8898-B412E26403C3}" type="parTrans" cxnId="{D227727E-ED0D-403F-A3FE-6A6C8B02F03C}">
      <dgm:prSet/>
      <dgm:spPr/>
      <dgm:t>
        <a:bodyPr/>
        <a:lstStyle/>
        <a:p>
          <a:endParaRPr lang="bg-BG"/>
        </a:p>
      </dgm:t>
    </dgm:pt>
    <dgm:pt modelId="{CF1C9080-61E0-443D-8BC8-5356BC9339CA}" type="sibTrans" cxnId="{D227727E-ED0D-403F-A3FE-6A6C8B02F03C}">
      <dgm:prSet/>
      <dgm:spPr/>
      <dgm:t>
        <a:bodyPr/>
        <a:lstStyle/>
        <a:p>
          <a:endParaRPr lang="bg-BG"/>
        </a:p>
      </dgm:t>
    </dgm:pt>
    <dgm:pt modelId="{2484F469-26B1-4E51-BD35-5AC33257859E}">
      <dgm:prSet/>
      <dgm:spPr>
        <a:xfrm>
          <a:off x="2049525" y="2604701"/>
          <a:ext cx="3074289" cy="591870"/>
        </a:xfrm>
        <a:solidFill>
          <a:srgbClr val="9BBB59">
            <a:tint val="40000"/>
            <a:alpha val="90000"/>
            <a:hueOff val="8573481"/>
            <a:satOff val="-11034"/>
            <a:lumOff val="-860"/>
            <a:alphaOff val="0"/>
          </a:srgbClr>
        </a:solidFill>
        <a:ln w="9525" cap="flat" cmpd="sng" algn="ctr">
          <a:solidFill>
            <a:srgbClr val="9BBB59">
              <a:tint val="40000"/>
              <a:alpha val="90000"/>
              <a:hueOff val="8573481"/>
              <a:satOff val="-11034"/>
              <a:lumOff val="-860"/>
              <a:alphaOff val="0"/>
            </a:srgbClr>
          </a:solidFill>
          <a:prstDash val="solid"/>
        </a:ln>
        <a:effectLst/>
      </dgm:spPr>
      <dgm:t>
        <a:bodyPr/>
        <a:lstStyle/>
        <a:p>
          <a:pPr marL="442913" indent="-266700"/>
          <a:r>
            <a:rPr lang="bg-BG" dirty="0">
              <a:solidFill>
                <a:sysClr val="windowText" lastClr="000000">
                  <a:hueOff val="0"/>
                  <a:satOff val="0"/>
                  <a:lumOff val="0"/>
                  <a:alphaOff val="0"/>
                </a:sysClr>
              </a:solidFill>
              <a:latin typeface="Times New Roman" pitchFamily="18" charset="0"/>
              <a:ea typeface="+mn-ea"/>
              <a:cs typeface="Times New Roman" pitchFamily="18" charset="0"/>
            </a:rPr>
            <a:t>Поддръжка и функциониране</a:t>
          </a:r>
        </a:p>
      </dgm:t>
    </dgm:pt>
    <dgm:pt modelId="{F77F7644-8D89-4FEB-AD08-9634A8F0CB4C}" type="parTrans" cxnId="{CC972EA3-B8D9-4302-AB83-75C6CAA958B6}">
      <dgm:prSet/>
      <dgm:spPr/>
      <dgm:t>
        <a:bodyPr/>
        <a:lstStyle/>
        <a:p>
          <a:endParaRPr lang="bg-BG"/>
        </a:p>
      </dgm:t>
    </dgm:pt>
    <dgm:pt modelId="{839B47F4-8B27-4C6C-9E4C-5A60DCB8B0AB}" type="sibTrans" cxnId="{CC972EA3-B8D9-4302-AB83-75C6CAA958B6}">
      <dgm:prSet/>
      <dgm:spPr/>
      <dgm:t>
        <a:bodyPr/>
        <a:lstStyle/>
        <a:p>
          <a:endParaRPr lang="bg-BG"/>
        </a:p>
      </dgm:t>
    </dgm:pt>
    <dgm:pt modelId="{819D1B91-59E6-4D48-B1CF-0D655FC0FA3E}">
      <dgm:prSet/>
      <dgm:spPr>
        <a:xfrm>
          <a:off x="2049525" y="2604701"/>
          <a:ext cx="3074289" cy="591870"/>
        </a:xfrm>
        <a:solidFill>
          <a:srgbClr val="9BBB59">
            <a:tint val="40000"/>
            <a:alpha val="90000"/>
            <a:hueOff val="8573481"/>
            <a:satOff val="-11034"/>
            <a:lumOff val="-860"/>
            <a:alphaOff val="0"/>
          </a:srgbClr>
        </a:solidFill>
        <a:ln w="9525" cap="flat" cmpd="sng" algn="ctr">
          <a:solidFill>
            <a:srgbClr val="9BBB59">
              <a:tint val="40000"/>
              <a:alpha val="90000"/>
              <a:hueOff val="8573481"/>
              <a:satOff val="-11034"/>
              <a:lumOff val="-860"/>
              <a:alphaOff val="0"/>
            </a:srgbClr>
          </a:solidFill>
          <a:prstDash val="solid"/>
        </a:ln>
        <a:effectLst/>
      </dgm:spPr>
      <dgm:t>
        <a:bodyPr/>
        <a:lstStyle/>
        <a:p>
          <a:pPr marL="442913" indent="-266700"/>
          <a:r>
            <a:rPr lang="bg-BG" dirty="0">
              <a:solidFill>
                <a:sysClr val="windowText" lastClr="000000">
                  <a:hueOff val="0"/>
                  <a:satOff val="0"/>
                  <a:lumOff val="0"/>
                  <a:alphaOff val="0"/>
                </a:sysClr>
              </a:solidFill>
              <a:latin typeface="Times New Roman" pitchFamily="18" charset="0"/>
              <a:ea typeface="+mn-ea"/>
              <a:cs typeface="Times New Roman" pitchFamily="18" charset="0"/>
            </a:rPr>
            <a:t>Индикатори</a:t>
          </a:r>
        </a:p>
      </dgm:t>
    </dgm:pt>
    <dgm:pt modelId="{100239D5-E409-4957-B553-B57E6356AAF8}" type="parTrans" cxnId="{F3E12A9D-AC4E-4A60-A8F4-D81125EBB38B}">
      <dgm:prSet/>
      <dgm:spPr/>
      <dgm:t>
        <a:bodyPr/>
        <a:lstStyle/>
        <a:p>
          <a:endParaRPr lang="bg-BG"/>
        </a:p>
      </dgm:t>
    </dgm:pt>
    <dgm:pt modelId="{3ABA4F7E-7C12-4695-BBAF-E42712BDDBEB}" type="sibTrans" cxnId="{F3E12A9D-AC4E-4A60-A8F4-D81125EBB38B}">
      <dgm:prSet/>
      <dgm:spPr/>
      <dgm:t>
        <a:bodyPr/>
        <a:lstStyle/>
        <a:p>
          <a:endParaRPr lang="bg-BG"/>
        </a:p>
      </dgm:t>
    </dgm:pt>
    <dgm:pt modelId="{6D43B09C-3954-40F7-980E-F1806F8ADC5C}">
      <dgm:prSet/>
      <dgm:spPr>
        <a:xfrm>
          <a:off x="2049525" y="3255759"/>
          <a:ext cx="3074289" cy="591870"/>
        </a:xfrm>
        <a:solidFill>
          <a:srgbClr val="9BBB59">
            <a:tint val="40000"/>
            <a:alpha val="90000"/>
            <a:hueOff val="10716850"/>
            <a:satOff val="-13793"/>
            <a:lumOff val="-1075"/>
            <a:alphaOff val="0"/>
          </a:srgbClr>
        </a:solidFill>
        <a:ln w="9525" cap="flat" cmpd="sng" algn="ctr">
          <a:solidFill>
            <a:srgbClr val="9BBB59">
              <a:tint val="40000"/>
              <a:alpha val="90000"/>
              <a:hueOff val="10716850"/>
              <a:satOff val="-13793"/>
              <a:lumOff val="-1075"/>
              <a:alphaOff val="0"/>
            </a:srgbClr>
          </a:solidFill>
          <a:prstDash val="solid"/>
        </a:ln>
        <a:effectLst/>
      </dgm:spPr>
      <dgm:t>
        <a:bodyPr/>
        <a:lstStyle/>
        <a:p>
          <a:pPr marL="442913" indent="-266700"/>
          <a:r>
            <a:rPr lang="bg-BG" dirty="0">
              <a:solidFill>
                <a:sysClr val="windowText" lastClr="000000">
                  <a:hueOff val="0"/>
                  <a:satOff val="0"/>
                  <a:lumOff val="0"/>
                  <a:alphaOff val="0"/>
                </a:sysClr>
              </a:solidFill>
              <a:latin typeface="Times New Roman" pitchFamily="18" charset="0"/>
              <a:ea typeface="+mn-ea"/>
              <a:cs typeface="Times New Roman" pitchFamily="18" charset="0"/>
            </a:rPr>
            <a:t>Досие на проекта</a:t>
          </a:r>
          <a:endParaRPr lang="bg-BG" dirty="0">
            <a:solidFill>
              <a:sysClr val="windowText" lastClr="000000">
                <a:hueOff val="0"/>
                <a:satOff val="0"/>
                <a:lumOff val="0"/>
                <a:alphaOff val="0"/>
              </a:sysClr>
            </a:solidFill>
            <a:latin typeface="Calibri"/>
            <a:ea typeface="+mn-ea"/>
            <a:cs typeface="+mn-cs"/>
          </a:endParaRPr>
        </a:p>
      </dgm:t>
    </dgm:pt>
    <dgm:pt modelId="{A2F0000F-7E2F-485C-96A6-FC2E49A598FF}" type="parTrans" cxnId="{D65BF275-FA86-403F-8F8C-646F46C81076}">
      <dgm:prSet/>
      <dgm:spPr/>
      <dgm:t>
        <a:bodyPr/>
        <a:lstStyle/>
        <a:p>
          <a:endParaRPr lang="bg-BG"/>
        </a:p>
      </dgm:t>
    </dgm:pt>
    <dgm:pt modelId="{4504183B-4D56-4274-8520-1D768ECF6BD5}" type="sibTrans" cxnId="{D65BF275-FA86-403F-8F8C-646F46C81076}">
      <dgm:prSet/>
      <dgm:spPr/>
      <dgm:t>
        <a:bodyPr/>
        <a:lstStyle/>
        <a:p>
          <a:endParaRPr lang="bg-BG"/>
        </a:p>
      </dgm:t>
    </dgm:pt>
    <dgm:pt modelId="{B353B499-6601-482C-9A30-54BAB6D08A4F}">
      <dgm:prSet phldrT="[Text]"/>
      <dgm:spPr>
        <a:xfrm>
          <a:off x="2049525" y="469"/>
          <a:ext cx="3074289" cy="591870"/>
        </a:xfrm>
        <a:solidFill>
          <a:srgbClr val="9BBB59">
            <a:tint val="40000"/>
            <a:alpha val="90000"/>
            <a:hueOff val="0"/>
            <a:satOff val="0"/>
            <a:lumOff val="0"/>
            <a:alphaOff val="0"/>
          </a:srgbClr>
        </a:solidFill>
        <a:ln w="9525" cap="flat" cmpd="sng" algn="ctr">
          <a:solidFill>
            <a:srgbClr val="9BBB59">
              <a:tint val="40000"/>
              <a:alpha val="90000"/>
              <a:hueOff val="0"/>
              <a:satOff val="0"/>
              <a:lumOff val="0"/>
              <a:alphaOff val="0"/>
            </a:srgbClr>
          </a:solidFill>
          <a:prstDash val="solid"/>
        </a:ln>
        <a:effectLst/>
      </dgm:spPr>
      <dgm:t>
        <a:bodyPr/>
        <a:lstStyle/>
        <a:p>
          <a:pPr marL="442913" indent="-266700" defTabSz="666750">
            <a:lnSpc>
              <a:spcPct val="90000"/>
            </a:lnSpc>
            <a:spcBef>
              <a:spcPct val="0"/>
            </a:spcBef>
            <a:spcAft>
              <a:spcPct val="15000"/>
            </a:spcAft>
            <a:buNone/>
          </a:pPr>
          <a:r>
            <a:rPr lang="bg-BG" dirty="0" err="1">
              <a:solidFill>
                <a:sysClr val="windowText" lastClr="000000">
                  <a:hueOff val="0"/>
                  <a:satOff val="0"/>
                  <a:lumOff val="0"/>
                  <a:alphaOff val="0"/>
                </a:sysClr>
              </a:solidFill>
              <a:latin typeface="Times New Roman" pitchFamily="18" charset="0"/>
              <a:ea typeface="+mn-ea"/>
              <a:cs typeface="Times New Roman" pitchFamily="18" charset="0"/>
            </a:rPr>
            <a:t>Предпроектно</a:t>
          </a:r>
          <a:r>
            <a:rPr lang="bg-BG" dirty="0">
              <a:solidFill>
                <a:sysClr val="windowText" lastClr="000000">
                  <a:hueOff val="0"/>
                  <a:satOff val="0"/>
                  <a:lumOff val="0"/>
                  <a:alphaOff val="0"/>
                </a:sysClr>
              </a:solidFill>
              <a:latin typeface="Times New Roman" pitchFamily="18" charset="0"/>
              <a:ea typeface="+mn-ea"/>
              <a:cs typeface="Times New Roman" pitchFamily="18" charset="0"/>
            </a:rPr>
            <a:t> проучване</a:t>
          </a:r>
          <a:endParaRPr lang="en-US"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7DB8F961-9E95-40D0-AC55-6150AED8B06B}" type="parTrans" cxnId="{BB648524-9F26-48A9-A8B1-096350D219F2}">
      <dgm:prSet/>
      <dgm:spPr/>
      <dgm:t>
        <a:bodyPr/>
        <a:lstStyle/>
        <a:p>
          <a:endParaRPr lang="bg-BG"/>
        </a:p>
      </dgm:t>
    </dgm:pt>
    <dgm:pt modelId="{5C2A5279-B23A-46C7-B0E2-342679DCE8CC}" type="sibTrans" cxnId="{BB648524-9F26-48A9-A8B1-096350D219F2}">
      <dgm:prSet/>
      <dgm:spPr/>
      <dgm:t>
        <a:bodyPr/>
        <a:lstStyle/>
        <a:p>
          <a:endParaRPr lang="bg-BG"/>
        </a:p>
      </dgm:t>
    </dgm:pt>
    <dgm:pt modelId="{957938D9-E949-48E1-9F89-02408CB88981}">
      <dgm:prSet phldrT="[Text]"/>
      <dgm:spPr>
        <a:xfrm>
          <a:off x="2049525" y="469"/>
          <a:ext cx="3074289" cy="591870"/>
        </a:xfrm>
        <a:solidFill>
          <a:srgbClr val="9BBB59">
            <a:tint val="40000"/>
            <a:alpha val="90000"/>
            <a:hueOff val="0"/>
            <a:satOff val="0"/>
            <a:lumOff val="0"/>
            <a:alphaOff val="0"/>
          </a:srgbClr>
        </a:solidFill>
        <a:ln w="9525" cap="flat" cmpd="sng" algn="ctr">
          <a:solidFill>
            <a:srgbClr val="9BBB59">
              <a:tint val="40000"/>
              <a:alpha val="90000"/>
              <a:hueOff val="0"/>
              <a:satOff val="0"/>
              <a:lumOff val="0"/>
              <a:alphaOff val="0"/>
            </a:srgbClr>
          </a:solidFill>
          <a:prstDash val="solid"/>
        </a:ln>
        <a:effectLst/>
      </dgm:spPr>
      <dgm:t>
        <a:bodyPr/>
        <a:lstStyle/>
        <a:p>
          <a:pPr marL="442913" indent="-266700" defTabSz="666750">
            <a:lnSpc>
              <a:spcPct val="90000"/>
            </a:lnSpc>
            <a:spcBef>
              <a:spcPct val="0"/>
            </a:spcBef>
            <a:spcAft>
              <a:spcPct val="15000"/>
            </a:spcAft>
            <a:buNone/>
          </a:pPr>
          <a:r>
            <a:rPr lang="bg-BG" dirty="0">
              <a:solidFill>
                <a:sysClr val="windowText" lastClr="000000">
                  <a:hueOff val="0"/>
                  <a:satOff val="0"/>
                  <a:lumOff val="0"/>
                  <a:alphaOff val="0"/>
                </a:sysClr>
              </a:solidFill>
              <a:latin typeface="Times New Roman" pitchFamily="18" charset="0"/>
              <a:ea typeface="+mn-ea"/>
              <a:cs typeface="Times New Roman" pitchFamily="18" charset="0"/>
            </a:rPr>
            <a:t>Стратегическо проучване</a:t>
          </a:r>
          <a:endParaRPr lang="en-US"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157939B1-CC6C-4B01-B6AA-C6E80095C5EE}" type="parTrans" cxnId="{2D9A41FF-4E89-426C-8CC8-79C4C9BB1D53}">
      <dgm:prSet/>
      <dgm:spPr/>
      <dgm:t>
        <a:bodyPr/>
        <a:lstStyle/>
        <a:p>
          <a:endParaRPr lang="bg-BG"/>
        </a:p>
      </dgm:t>
    </dgm:pt>
    <dgm:pt modelId="{00EC59D6-130D-467D-BE3E-E2601DB7A9BD}" type="sibTrans" cxnId="{2D9A41FF-4E89-426C-8CC8-79C4C9BB1D53}">
      <dgm:prSet/>
      <dgm:spPr/>
      <dgm:t>
        <a:bodyPr/>
        <a:lstStyle/>
        <a:p>
          <a:endParaRPr lang="bg-BG"/>
        </a:p>
      </dgm:t>
    </dgm:pt>
    <dgm:pt modelId="{FC931503-2837-4F55-A17B-4656F04A708B}" type="pres">
      <dgm:prSet presAssocID="{54CF1F80-7349-4DC3-AB6D-DBF0B9A9BCE1}" presName="Name0" presStyleCnt="0">
        <dgm:presLayoutVars>
          <dgm:dir/>
          <dgm:animLvl val="lvl"/>
          <dgm:resizeHandles/>
        </dgm:presLayoutVars>
      </dgm:prSet>
      <dgm:spPr/>
      <dgm:t>
        <a:bodyPr/>
        <a:lstStyle/>
        <a:p>
          <a:endParaRPr lang="en-US"/>
        </a:p>
      </dgm:t>
    </dgm:pt>
    <dgm:pt modelId="{C8CAE7F4-0019-4DCC-97D2-542FF1DBB294}" type="pres">
      <dgm:prSet presAssocID="{205C7148-BAA9-46C1-9F48-95E1ED3C5A47}" presName="linNode" presStyleCnt="0"/>
      <dgm:spPr/>
    </dgm:pt>
    <dgm:pt modelId="{4B440A2D-710B-4BA9-BCB1-C54F7A6E8F83}" type="pres">
      <dgm:prSet presAssocID="{205C7148-BAA9-46C1-9F48-95E1ED3C5A47}" presName="parentShp" presStyleLbl="node1" presStyleIdx="0" presStyleCnt="6">
        <dgm:presLayoutVars>
          <dgm:bulletEnabled val="1"/>
        </dgm:presLayoutVars>
      </dgm:prSet>
      <dgm:spPr>
        <a:prstGeom prst="roundRect">
          <a:avLst/>
        </a:prstGeom>
      </dgm:spPr>
      <dgm:t>
        <a:bodyPr/>
        <a:lstStyle/>
        <a:p>
          <a:endParaRPr lang="en-US"/>
        </a:p>
      </dgm:t>
    </dgm:pt>
    <dgm:pt modelId="{7A721F1C-8442-4B7D-B2CC-3A8C887BDE77}" type="pres">
      <dgm:prSet presAssocID="{205C7148-BAA9-46C1-9F48-95E1ED3C5A47}" presName="childShp" presStyleLbl="bgAccFollowNode1" presStyleIdx="0" presStyleCnt="6">
        <dgm:presLayoutVars>
          <dgm:bulletEnabled val="1"/>
        </dgm:presLayoutVars>
      </dgm:prSet>
      <dgm:spPr>
        <a:prstGeom prst="rightArrow">
          <a:avLst>
            <a:gd name="adj1" fmla="val 75000"/>
            <a:gd name="adj2" fmla="val 50000"/>
          </a:avLst>
        </a:prstGeom>
      </dgm:spPr>
      <dgm:t>
        <a:bodyPr/>
        <a:lstStyle/>
        <a:p>
          <a:endParaRPr lang="en-US"/>
        </a:p>
      </dgm:t>
    </dgm:pt>
    <dgm:pt modelId="{14419B7B-2223-47D6-A2F8-D04D1C51E213}" type="pres">
      <dgm:prSet presAssocID="{920DDB8A-0879-48CC-B8C7-402E6E6D1950}" presName="spacing" presStyleCnt="0"/>
      <dgm:spPr/>
    </dgm:pt>
    <dgm:pt modelId="{C26FC079-8D2E-45F8-954A-44BC52A02A3D}" type="pres">
      <dgm:prSet presAssocID="{B13ABEB3-7971-4771-9766-96C74D1AE025}" presName="linNode" presStyleCnt="0"/>
      <dgm:spPr/>
    </dgm:pt>
    <dgm:pt modelId="{394981C9-2863-4711-905E-1479C5322EC0}" type="pres">
      <dgm:prSet presAssocID="{B13ABEB3-7971-4771-9766-96C74D1AE025}" presName="parentShp" presStyleLbl="node1" presStyleIdx="1" presStyleCnt="6">
        <dgm:presLayoutVars>
          <dgm:bulletEnabled val="1"/>
        </dgm:presLayoutVars>
      </dgm:prSet>
      <dgm:spPr>
        <a:prstGeom prst="roundRect">
          <a:avLst/>
        </a:prstGeom>
      </dgm:spPr>
      <dgm:t>
        <a:bodyPr/>
        <a:lstStyle/>
        <a:p>
          <a:endParaRPr lang="en-US"/>
        </a:p>
      </dgm:t>
    </dgm:pt>
    <dgm:pt modelId="{CDF16FFB-6CE5-4C52-968F-3BAF16910D1F}" type="pres">
      <dgm:prSet presAssocID="{B13ABEB3-7971-4771-9766-96C74D1AE025}" presName="childShp" presStyleLbl="bgAccFollowNode1" presStyleIdx="1" presStyleCnt="6">
        <dgm:presLayoutVars>
          <dgm:bulletEnabled val="1"/>
        </dgm:presLayoutVars>
      </dgm:prSet>
      <dgm:spPr>
        <a:prstGeom prst="rightArrow">
          <a:avLst>
            <a:gd name="adj1" fmla="val 75000"/>
            <a:gd name="adj2" fmla="val 50000"/>
          </a:avLst>
        </a:prstGeom>
      </dgm:spPr>
      <dgm:t>
        <a:bodyPr/>
        <a:lstStyle/>
        <a:p>
          <a:endParaRPr lang="en-US"/>
        </a:p>
      </dgm:t>
    </dgm:pt>
    <dgm:pt modelId="{C400D605-4E9C-4858-BE3E-9A5DA485D716}" type="pres">
      <dgm:prSet presAssocID="{54BE9B80-2BD5-43C7-902A-8BC42AE530B3}" presName="spacing" presStyleCnt="0"/>
      <dgm:spPr/>
    </dgm:pt>
    <dgm:pt modelId="{D65B1A16-B158-4107-9226-5A07BF100806}" type="pres">
      <dgm:prSet presAssocID="{66EB137A-84AE-4D2B-9ED5-F1E9095401FA}" presName="linNode" presStyleCnt="0"/>
      <dgm:spPr/>
    </dgm:pt>
    <dgm:pt modelId="{68345B52-3657-4111-852D-7DF2910EFC8D}" type="pres">
      <dgm:prSet presAssocID="{66EB137A-84AE-4D2B-9ED5-F1E9095401FA}" presName="parentShp" presStyleLbl="node1" presStyleIdx="2" presStyleCnt="6">
        <dgm:presLayoutVars>
          <dgm:bulletEnabled val="1"/>
        </dgm:presLayoutVars>
      </dgm:prSet>
      <dgm:spPr>
        <a:prstGeom prst="roundRect">
          <a:avLst/>
        </a:prstGeom>
      </dgm:spPr>
      <dgm:t>
        <a:bodyPr/>
        <a:lstStyle/>
        <a:p>
          <a:endParaRPr lang="en-US"/>
        </a:p>
      </dgm:t>
    </dgm:pt>
    <dgm:pt modelId="{26E8BDE7-6A0B-4438-BF3C-539E51DD8607}" type="pres">
      <dgm:prSet presAssocID="{66EB137A-84AE-4D2B-9ED5-F1E9095401FA}" presName="childShp" presStyleLbl="bgAccFollowNode1" presStyleIdx="2" presStyleCnt="6">
        <dgm:presLayoutVars>
          <dgm:bulletEnabled val="1"/>
        </dgm:presLayoutVars>
      </dgm:prSet>
      <dgm:spPr>
        <a:prstGeom prst="rightArrow">
          <a:avLst>
            <a:gd name="adj1" fmla="val 75000"/>
            <a:gd name="adj2" fmla="val 50000"/>
          </a:avLst>
        </a:prstGeom>
      </dgm:spPr>
      <dgm:t>
        <a:bodyPr/>
        <a:lstStyle/>
        <a:p>
          <a:endParaRPr lang="en-US"/>
        </a:p>
      </dgm:t>
    </dgm:pt>
    <dgm:pt modelId="{E520C9AF-E3A6-4ED0-91AD-7479770EFEAF}" type="pres">
      <dgm:prSet presAssocID="{2A59F98D-F07C-427D-83E3-54FAE8311748}" presName="spacing" presStyleCnt="0"/>
      <dgm:spPr/>
    </dgm:pt>
    <dgm:pt modelId="{D79BBE7E-8918-401C-B8DD-BBA3E6DFB40F}" type="pres">
      <dgm:prSet presAssocID="{06A09D2C-8F74-4701-9086-C436276D88EF}" presName="linNode" presStyleCnt="0"/>
      <dgm:spPr/>
    </dgm:pt>
    <dgm:pt modelId="{3221C8F2-6E52-432E-AF4D-47991445AA5A}" type="pres">
      <dgm:prSet presAssocID="{06A09D2C-8F74-4701-9086-C436276D88EF}" presName="parentShp" presStyleLbl="node1" presStyleIdx="3" presStyleCnt="6">
        <dgm:presLayoutVars>
          <dgm:bulletEnabled val="1"/>
        </dgm:presLayoutVars>
      </dgm:prSet>
      <dgm:spPr>
        <a:prstGeom prst="roundRect">
          <a:avLst/>
        </a:prstGeom>
      </dgm:spPr>
      <dgm:t>
        <a:bodyPr/>
        <a:lstStyle/>
        <a:p>
          <a:endParaRPr lang="en-US"/>
        </a:p>
      </dgm:t>
    </dgm:pt>
    <dgm:pt modelId="{F276D9A1-4F4B-4AC0-8B56-A3478A924ECD}" type="pres">
      <dgm:prSet presAssocID="{06A09D2C-8F74-4701-9086-C436276D88EF}" presName="childShp" presStyleLbl="bgAccFollowNode1" presStyleIdx="3" presStyleCnt="6">
        <dgm:presLayoutVars>
          <dgm:bulletEnabled val="1"/>
        </dgm:presLayoutVars>
      </dgm:prSet>
      <dgm:spPr>
        <a:prstGeom prst="rightArrow">
          <a:avLst>
            <a:gd name="adj1" fmla="val 75000"/>
            <a:gd name="adj2" fmla="val 50000"/>
          </a:avLst>
        </a:prstGeom>
      </dgm:spPr>
      <dgm:t>
        <a:bodyPr/>
        <a:lstStyle/>
        <a:p>
          <a:endParaRPr lang="en-US"/>
        </a:p>
      </dgm:t>
    </dgm:pt>
    <dgm:pt modelId="{3619DEFE-1F6B-43D6-8324-49AE36E11C7E}" type="pres">
      <dgm:prSet presAssocID="{B840CA32-D53F-424E-B162-EA7FEAEA6E0A}" presName="spacing" presStyleCnt="0"/>
      <dgm:spPr/>
    </dgm:pt>
    <dgm:pt modelId="{41CE6426-E9FC-422A-9F42-B666F581B06F}" type="pres">
      <dgm:prSet presAssocID="{6987DB38-62A1-4043-9CAF-E990B0BC77A0}" presName="linNode" presStyleCnt="0"/>
      <dgm:spPr/>
    </dgm:pt>
    <dgm:pt modelId="{A4609750-B5D6-45B6-A39A-B57CC4BB0EAF}" type="pres">
      <dgm:prSet presAssocID="{6987DB38-62A1-4043-9CAF-E990B0BC77A0}" presName="parentShp" presStyleLbl="node1" presStyleIdx="4" presStyleCnt="6">
        <dgm:presLayoutVars>
          <dgm:bulletEnabled val="1"/>
        </dgm:presLayoutVars>
      </dgm:prSet>
      <dgm:spPr>
        <a:prstGeom prst="roundRect">
          <a:avLst/>
        </a:prstGeom>
      </dgm:spPr>
      <dgm:t>
        <a:bodyPr/>
        <a:lstStyle/>
        <a:p>
          <a:endParaRPr lang="en-US"/>
        </a:p>
      </dgm:t>
    </dgm:pt>
    <dgm:pt modelId="{17EF7E93-6B14-4F6D-A3D0-1F23A64FEA6B}" type="pres">
      <dgm:prSet presAssocID="{6987DB38-62A1-4043-9CAF-E990B0BC77A0}" presName="childShp" presStyleLbl="bgAccFollowNode1" presStyleIdx="4" presStyleCnt="6">
        <dgm:presLayoutVars>
          <dgm:bulletEnabled val="1"/>
        </dgm:presLayoutVars>
      </dgm:prSet>
      <dgm:spPr>
        <a:prstGeom prst="rightArrow">
          <a:avLst>
            <a:gd name="adj1" fmla="val 75000"/>
            <a:gd name="adj2" fmla="val 50000"/>
          </a:avLst>
        </a:prstGeom>
      </dgm:spPr>
      <dgm:t>
        <a:bodyPr/>
        <a:lstStyle/>
        <a:p>
          <a:endParaRPr lang="en-US"/>
        </a:p>
      </dgm:t>
    </dgm:pt>
    <dgm:pt modelId="{3D91545B-39D9-40DC-9574-929AC24E25BD}" type="pres">
      <dgm:prSet presAssocID="{7173B3B8-D13D-42A9-85DD-E4627DBDE7E5}" presName="spacing" presStyleCnt="0"/>
      <dgm:spPr/>
    </dgm:pt>
    <dgm:pt modelId="{15297561-B846-48D1-8FBC-F71C54AD5A22}" type="pres">
      <dgm:prSet presAssocID="{D5BA6205-2A12-4D54-BAA1-7CD9B51B14B2}" presName="linNode" presStyleCnt="0"/>
      <dgm:spPr/>
    </dgm:pt>
    <dgm:pt modelId="{C1026AE3-3818-48AC-861B-6A3AD77BF423}" type="pres">
      <dgm:prSet presAssocID="{D5BA6205-2A12-4D54-BAA1-7CD9B51B14B2}" presName="parentShp" presStyleLbl="node1" presStyleIdx="5" presStyleCnt="6">
        <dgm:presLayoutVars>
          <dgm:bulletEnabled val="1"/>
        </dgm:presLayoutVars>
      </dgm:prSet>
      <dgm:spPr>
        <a:prstGeom prst="roundRect">
          <a:avLst/>
        </a:prstGeom>
      </dgm:spPr>
      <dgm:t>
        <a:bodyPr/>
        <a:lstStyle/>
        <a:p>
          <a:endParaRPr lang="en-US"/>
        </a:p>
      </dgm:t>
    </dgm:pt>
    <dgm:pt modelId="{6216B28F-2190-4D63-A157-381DCB790D69}" type="pres">
      <dgm:prSet presAssocID="{D5BA6205-2A12-4D54-BAA1-7CD9B51B14B2}" presName="childShp" presStyleLbl="bgAccFollowNode1" presStyleIdx="5" presStyleCnt="6">
        <dgm:presLayoutVars>
          <dgm:bulletEnabled val="1"/>
        </dgm:presLayoutVars>
      </dgm:prSet>
      <dgm:spPr>
        <a:prstGeom prst="rightArrow">
          <a:avLst>
            <a:gd name="adj1" fmla="val 75000"/>
            <a:gd name="adj2" fmla="val 50000"/>
          </a:avLst>
        </a:prstGeom>
      </dgm:spPr>
      <dgm:t>
        <a:bodyPr/>
        <a:lstStyle/>
        <a:p>
          <a:endParaRPr lang="en-US"/>
        </a:p>
      </dgm:t>
    </dgm:pt>
  </dgm:ptLst>
  <dgm:cxnLst>
    <dgm:cxn modelId="{58964D4B-2548-4986-8E28-35F1EDBAE572}" srcId="{B13ABEB3-7971-4771-9766-96C74D1AE025}" destId="{60CE67F5-42F3-47B0-9C82-5FA1FA5012A0}" srcOrd="0" destOrd="0" parTransId="{BE8C3C51-98B8-41C4-8D78-8DC9325F34F0}" sibTransId="{6E419726-0733-48B5-90A9-D56BDEE22CE1}"/>
    <dgm:cxn modelId="{06352370-D383-4C86-BDAF-A06B298C1157}" type="presOf" srcId="{54CF1F80-7349-4DC3-AB6D-DBF0B9A9BCE1}" destId="{FC931503-2837-4F55-A17B-4656F04A708B}" srcOrd="0" destOrd="0" presId="urn:microsoft.com/office/officeart/2005/8/layout/vList6"/>
    <dgm:cxn modelId="{3B8A89CE-7A07-4B40-A80E-02FA047F25C0}" type="presOf" srcId="{0D0CB8FE-5560-4BA6-BED3-882A532D24BE}" destId="{F276D9A1-4F4B-4AC0-8B56-A3478A924ECD}" srcOrd="0" destOrd="0" presId="urn:microsoft.com/office/officeart/2005/8/layout/vList6"/>
    <dgm:cxn modelId="{BB648524-9F26-48A9-A8B1-096350D219F2}" srcId="{205C7148-BAA9-46C1-9F48-95E1ED3C5A47}" destId="{B353B499-6601-482C-9A30-54BAB6D08A4F}" srcOrd="2" destOrd="0" parTransId="{7DB8F961-9E95-40D0-AC55-6150AED8B06B}" sibTransId="{5C2A5279-B23A-46C7-B0E2-342679DCE8CC}"/>
    <dgm:cxn modelId="{A5E9D162-0ADA-496E-9BF2-0DA003866C48}" type="presOf" srcId="{D5BA6205-2A12-4D54-BAA1-7CD9B51B14B2}" destId="{C1026AE3-3818-48AC-861B-6A3AD77BF423}" srcOrd="0" destOrd="0" presId="urn:microsoft.com/office/officeart/2005/8/layout/vList6"/>
    <dgm:cxn modelId="{5A7DA966-4E06-4809-963C-5FEC11868A97}" type="presOf" srcId="{B353B499-6601-482C-9A30-54BAB6D08A4F}" destId="{7A721F1C-8442-4B7D-B2CC-3A8C887BDE77}" srcOrd="0" destOrd="2" presId="urn:microsoft.com/office/officeart/2005/8/layout/vList6"/>
    <dgm:cxn modelId="{E0B8DCEB-5E5F-41BB-AB3D-451EBB8076D3}" type="presOf" srcId="{6D43B09C-3954-40F7-980E-F1806F8ADC5C}" destId="{6216B28F-2190-4D63-A157-381DCB790D69}" srcOrd="0" destOrd="0" presId="urn:microsoft.com/office/officeart/2005/8/layout/vList6"/>
    <dgm:cxn modelId="{BD63D90E-237C-49A4-BC17-3159088399AA}" type="presOf" srcId="{56CAE11A-489F-43D0-8C6B-638ABFA0318D}" destId="{F276D9A1-4F4B-4AC0-8B56-A3478A924ECD}" srcOrd="0" destOrd="2" presId="urn:microsoft.com/office/officeart/2005/8/layout/vList6"/>
    <dgm:cxn modelId="{6539567B-F0DD-4F99-891C-A3D68F7F6249}" srcId="{06A09D2C-8F74-4701-9086-C436276D88EF}" destId="{56CAE11A-489F-43D0-8C6B-638ABFA0318D}" srcOrd="2" destOrd="0" parTransId="{4FA1AD06-F8FF-4AAE-8341-1CC49AA523E8}" sibTransId="{F9C7043D-956B-4052-8A32-447E08BB6974}"/>
    <dgm:cxn modelId="{729F3A18-7E29-4A43-9285-2484CD2D88F5}" srcId="{6987DB38-62A1-4043-9CAF-E990B0BC77A0}" destId="{2244DDA4-9F8E-4BE0-B8C8-2EB2E481E94F}" srcOrd="0" destOrd="0" parTransId="{EBD4D06F-BECE-41A8-8B19-9E92D05DCFDC}" sibTransId="{ED96984A-BCD5-4983-91FF-A3269466CFCA}"/>
    <dgm:cxn modelId="{C4DF7017-CB99-4DDC-911D-33A4B589AF44}" srcId="{66EB137A-84AE-4D2B-9ED5-F1E9095401FA}" destId="{E9BE0F1D-3D02-4ED1-9B8A-FDEEDBDE1E5E}" srcOrd="2" destOrd="0" parTransId="{C8E76656-B996-4164-9B65-26F555D38CF2}" sibTransId="{5D3D5DE2-91B6-4437-BA9D-227B1D369444}"/>
    <dgm:cxn modelId="{19E44502-E738-48E8-8270-60F98D88F1E1}" srcId="{54CF1F80-7349-4DC3-AB6D-DBF0B9A9BCE1}" destId="{66EB137A-84AE-4D2B-9ED5-F1E9095401FA}" srcOrd="2" destOrd="0" parTransId="{E0A6364C-2FFE-4E02-A917-71980FC166D4}" sibTransId="{2A59F98D-F07C-427D-83E3-54FAE8311748}"/>
    <dgm:cxn modelId="{B3D6F1D7-7F06-496F-B665-226CA742592D}" type="presOf" srcId="{205C7148-BAA9-46C1-9F48-95E1ED3C5A47}" destId="{4B440A2D-710B-4BA9-BCB1-C54F7A6E8F83}" srcOrd="0" destOrd="0" presId="urn:microsoft.com/office/officeart/2005/8/layout/vList6"/>
    <dgm:cxn modelId="{F3E12A9D-AC4E-4A60-A8F4-D81125EBB38B}" srcId="{6987DB38-62A1-4043-9CAF-E990B0BC77A0}" destId="{819D1B91-59E6-4D48-B1CF-0D655FC0FA3E}" srcOrd="2" destOrd="0" parTransId="{100239D5-E409-4957-B553-B57E6356AAF8}" sibTransId="{3ABA4F7E-7C12-4695-BBAF-E42712BDDBEB}"/>
    <dgm:cxn modelId="{D227727E-ED0D-403F-A3FE-6A6C8B02F03C}" srcId="{54CF1F80-7349-4DC3-AB6D-DBF0B9A9BCE1}" destId="{D5BA6205-2A12-4D54-BAA1-7CD9B51B14B2}" srcOrd="5" destOrd="0" parTransId="{CDF69912-9D3E-4C7C-8898-B412E26403C3}" sibTransId="{CF1C9080-61E0-443D-8BC8-5356BC9339CA}"/>
    <dgm:cxn modelId="{2D9A41FF-4E89-426C-8CC8-79C4C9BB1D53}" srcId="{205C7148-BAA9-46C1-9F48-95E1ED3C5A47}" destId="{957938D9-E949-48E1-9F89-02408CB88981}" srcOrd="1" destOrd="0" parTransId="{157939B1-CC6C-4B01-B6AA-C6E80095C5EE}" sibTransId="{00EC59D6-130D-467D-BE3E-E2601DB7A9BD}"/>
    <dgm:cxn modelId="{BAEBDD58-11F8-4504-A58C-D630834A88D9}" srcId="{54CF1F80-7349-4DC3-AB6D-DBF0B9A9BCE1}" destId="{205C7148-BAA9-46C1-9F48-95E1ED3C5A47}" srcOrd="0" destOrd="0" parTransId="{F74E27E7-ECF8-4F44-BD88-C96F1673EDC1}" sibTransId="{920DDB8A-0879-48CC-B8C7-402E6E6D1950}"/>
    <dgm:cxn modelId="{4B0E3D49-81FE-441B-B88E-8E40E5BAC47E}" type="presOf" srcId="{957938D9-E949-48E1-9F89-02408CB88981}" destId="{7A721F1C-8442-4B7D-B2CC-3A8C887BDE77}" srcOrd="0" destOrd="1" presId="urn:microsoft.com/office/officeart/2005/8/layout/vList6"/>
    <dgm:cxn modelId="{7E44002E-2A4A-4738-A150-CC5725F35C45}" srcId="{06A09D2C-8F74-4701-9086-C436276D88EF}" destId="{0D0CB8FE-5560-4BA6-BED3-882A532D24BE}" srcOrd="0" destOrd="0" parTransId="{5C60C6AC-FDCD-47B9-BD46-BAC185FE2A4C}" sibTransId="{358E079C-97DF-45D8-83ED-EC5A7C49BD3C}"/>
    <dgm:cxn modelId="{99FBCEA4-238A-4B29-BFB3-4DABE4DEEAAF}" srcId="{54CF1F80-7349-4DC3-AB6D-DBF0B9A9BCE1}" destId="{B13ABEB3-7971-4771-9766-96C74D1AE025}" srcOrd="1" destOrd="0" parTransId="{8C0BFEE4-4CEC-43C5-AFC4-E409672A1318}" sibTransId="{54BE9B80-2BD5-43C7-902A-8BC42AE530B3}"/>
    <dgm:cxn modelId="{D65BF275-FA86-403F-8F8C-646F46C81076}" srcId="{D5BA6205-2A12-4D54-BAA1-7CD9B51B14B2}" destId="{6D43B09C-3954-40F7-980E-F1806F8ADC5C}" srcOrd="0" destOrd="0" parTransId="{A2F0000F-7E2F-485C-96A6-FC2E49A598FF}" sibTransId="{4504183B-4D56-4274-8520-1D768ECF6BD5}"/>
    <dgm:cxn modelId="{7593D28F-8C99-4CB4-8D5C-87582B41CC56}" type="presOf" srcId="{2244DDA4-9F8E-4BE0-B8C8-2EB2E481E94F}" destId="{17EF7E93-6B14-4F6D-A3D0-1F23A64FEA6B}" srcOrd="0" destOrd="0" presId="urn:microsoft.com/office/officeart/2005/8/layout/vList6"/>
    <dgm:cxn modelId="{681AB7E0-D705-481B-94FF-DA2876596E93}" type="presOf" srcId="{4DEF05B1-B1A7-4BB8-A55E-200EB78B64A8}" destId="{CDF16FFB-6CE5-4C52-968F-3BAF16910D1F}" srcOrd="0" destOrd="1" presId="urn:microsoft.com/office/officeart/2005/8/layout/vList6"/>
    <dgm:cxn modelId="{998C1FF2-C15D-4804-9134-A8654C3404DE}" type="presOf" srcId="{6987DB38-62A1-4043-9CAF-E990B0BC77A0}" destId="{A4609750-B5D6-45B6-A39A-B57CC4BB0EAF}" srcOrd="0" destOrd="0" presId="urn:microsoft.com/office/officeart/2005/8/layout/vList6"/>
    <dgm:cxn modelId="{A2A15365-AB2A-4263-9896-B820CA5D38A3}" srcId="{205C7148-BAA9-46C1-9F48-95E1ED3C5A47}" destId="{E9CE49FE-A7A6-496B-A6D1-247F3CD4B615}" srcOrd="0" destOrd="0" parTransId="{58A4D409-67D1-45D7-A5B5-0EFDC5106BCD}" sibTransId="{B4EB417E-0A44-4207-B9CA-5B65E2537CA0}"/>
    <dgm:cxn modelId="{23751776-669D-4496-9489-17955F7D0F70}" type="presOf" srcId="{390F8EE7-62E7-435D-BB16-94D09375F0BA}" destId="{26E8BDE7-6A0B-4438-BF3C-539E51DD8607}" srcOrd="0" destOrd="1" presId="urn:microsoft.com/office/officeart/2005/8/layout/vList6"/>
    <dgm:cxn modelId="{7F516C9B-6E4B-4B33-8D7D-DB374140AE46}" type="presOf" srcId="{31FDDA5E-2013-4C9A-BE76-1DB721D3FE4F}" destId="{F276D9A1-4F4B-4AC0-8B56-A3478A924ECD}" srcOrd="0" destOrd="1" presId="urn:microsoft.com/office/officeart/2005/8/layout/vList6"/>
    <dgm:cxn modelId="{20D2290E-23E9-4461-B3D2-CB3AD74E14E5}" srcId="{B13ABEB3-7971-4771-9766-96C74D1AE025}" destId="{2266BF3C-AC31-4AA6-BF65-57CC017512BE}" srcOrd="2" destOrd="0" parTransId="{E0F9E583-0765-431A-8A38-883C29F42A28}" sibTransId="{56811E36-84A4-4B4F-BE88-8B97FE18070F}"/>
    <dgm:cxn modelId="{5257BBE2-56E6-479A-9030-4EFEA664AD82}" srcId="{66EB137A-84AE-4D2B-9ED5-F1E9095401FA}" destId="{390F8EE7-62E7-435D-BB16-94D09375F0BA}" srcOrd="1" destOrd="0" parTransId="{60E217AB-1D6D-4F82-A9E9-D853E71135C0}" sibTransId="{5329035C-0351-42F0-B76E-3A8123C8B52C}"/>
    <dgm:cxn modelId="{AE76D005-9FF3-4272-98AB-61471B63E874}" type="presOf" srcId="{819D1B91-59E6-4D48-B1CF-0D655FC0FA3E}" destId="{17EF7E93-6B14-4F6D-A3D0-1F23A64FEA6B}" srcOrd="0" destOrd="2" presId="urn:microsoft.com/office/officeart/2005/8/layout/vList6"/>
    <dgm:cxn modelId="{C18C4CFD-917C-41B0-9DDB-D2842D2E8D04}" srcId="{54CF1F80-7349-4DC3-AB6D-DBF0B9A9BCE1}" destId="{6987DB38-62A1-4043-9CAF-E990B0BC77A0}" srcOrd="4" destOrd="0" parTransId="{F759B2DF-092C-44E0-8994-FF9031F2A011}" sibTransId="{7173B3B8-D13D-42A9-85DD-E4627DBDE7E5}"/>
    <dgm:cxn modelId="{3A1F1749-F1BD-4E17-BC69-7E2BFF175F85}" type="presOf" srcId="{E9CE49FE-A7A6-496B-A6D1-247F3CD4B615}" destId="{7A721F1C-8442-4B7D-B2CC-3A8C887BDE77}" srcOrd="0" destOrd="0" presId="urn:microsoft.com/office/officeart/2005/8/layout/vList6"/>
    <dgm:cxn modelId="{E0750B28-6EF3-4DAF-88B3-D7B7694D2266}" srcId="{B13ABEB3-7971-4771-9766-96C74D1AE025}" destId="{4DEF05B1-B1A7-4BB8-A55E-200EB78B64A8}" srcOrd="1" destOrd="0" parTransId="{44CC17A6-12FF-49EF-ACFD-492733DAA23F}" sibTransId="{89061947-7DCD-43ED-B3FB-3C6F5DA8F8AE}"/>
    <dgm:cxn modelId="{A13AAC51-2E92-4EFA-A3DD-6F1CFD28AA49}" type="presOf" srcId="{41F1DE28-A386-45B7-A997-B4533614B085}" destId="{26E8BDE7-6A0B-4438-BF3C-539E51DD8607}" srcOrd="0" destOrd="0" presId="urn:microsoft.com/office/officeart/2005/8/layout/vList6"/>
    <dgm:cxn modelId="{B162044B-23BD-410B-B91C-95A0C8F33E6C}" srcId="{06A09D2C-8F74-4701-9086-C436276D88EF}" destId="{31FDDA5E-2013-4C9A-BE76-1DB721D3FE4F}" srcOrd="1" destOrd="0" parTransId="{666C5441-1B47-4A58-B622-416FE5C2FCCF}" sibTransId="{E452E4E5-FEDB-4D8F-A72A-65789A65E3AD}"/>
    <dgm:cxn modelId="{E65A8654-BB99-4E7D-8ADB-16B4FAA2E950}" type="presOf" srcId="{B13ABEB3-7971-4771-9766-96C74D1AE025}" destId="{394981C9-2863-4711-905E-1479C5322EC0}" srcOrd="0" destOrd="0" presId="urn:microsoft.com/office/officeart/2005/8/layout/vList6"/>
    <dgm:cxn modelId="{3B1CCB83-8BB1-44B7-AD0B-00F2847176DC}" type="presOf" srcId="{2484F469-26B1-4E51-BD35-5AC33257859E}" destId="{17EF7E93-6B14-4F6D-A3D0-1F23A64FEA6B}" srcOrd="0" destOrd="1" presId="urn:microsoft.com/office/officeart/2005/8/layout/vList6"/>
    <dgm:cxn modelId="{000D3EE6-032F-45AD-AF90-22442B70D715}" type="presOf" srcId="{60CE67F5-42F3-47B0-9C82-5FA1FA5012A0}" destId="{CDF16FFB-6CE5-4C52-968F-3BAF16910D1F}" srcOrd="0" destOrd="0" presId="urn:microsoft.com/office/officeart/2005/8/layout/vList6"/>
    <dgm:cxn modelId="{952F9443-D79C-4C5C-8AA2-B1FB3536426E}" type="presOf" srcId="{06A09D2C-8F74-4701-9086-C436276D88EF}" destId="{3221C8F2-6E52-432E-AF4D-47991445AA5A}" srcOrd="0" destOrd="0" presId="urn:microsoft.com/office/officeart/2005/8/layout/vList6"/>
    <dgm:cxn modelId="{CC972EA3-B8D9-4302-AB83-75C6CAA958B6}" srcId="{6987DB38-62A1-4043-9CAF-E990B0BC77A0}" destId="{2484F469-26B1-4E51-BD35-5AC33257859E}" srcOrd="1" destOrd="0" parTransId="{F77F7644-8D89-4FEB-AD08-9634A8F0CB4C}" sibTransId="{839B47F4-8B27-4C6C-9E4C-5A60DCB8B0AB}"/>
    <dgm:cxn modelId="{9C4E7347-B468-4C2D-A71B-120DB480255E}" srcId="{66EB137A-84AE-4D2B-9ED5-F1E9095401FA}" destId="{41F1DE28-A386-45B7-A997-B4533614B085}" srcOrd="0" destOrd="0" parTransId="{18D30D97-A35A-408A-8C85-58F22B2C2032}" sibTransId="{718581B1-5D40-4C8B-A56F-536284097B90}"/>
    <dgm:cxn modelId="{BF09F629-CB35-4489-913A-6143E700C8E9}" srcId="{54CF1F80-7349-4DC3-AB6D-DBF0B9A9BCE1}" destId="{06A09D2C-8F74-4701-9086-C436276D88EF}" srcOrd="3" destOrd="0" parTransId="{F5C6D6B0-92CD-4CC7-8F43-E31C3BC038CD}" sibTransId="{B840CA32-D53F-424E-B162-EA7FEAEA6E0A}"/>
    <dgm:cxn modelId="{C09AA5FE-C023-446E-9795-016082781566}" type="presOf" srcId="{66EB137A-84AE-4D2B-9ED5-F1E9095401FA}" destId="{68345B52-3657-4111-852D-7DF2910EFC8D}" srcOrd="0" destOrd="0" presId="urn:microsoft.com/office/officeart/2005/8/layout/vList6"/>
    <dgm:cxn modelId="{67687364-4114-4F40-B07F-ED745E8AE771}" type="presOf" srcId="{2266BF3C-AC31-4AA6-BF65-57CC017512BE}" destId="{CDF16FFB-6CE5-4C52-968F-3BAF16910D1F}" srcOrd="0" destOrd="2" presId="urn:microsoft.com/office/officeart/2005/8/layout/vList6"/>
    <dgm:cxn modelId="{26A98C89-D463-4523-96F6-A27747F0212C}" type="presOf" srcId="{E9BE0F1D-3D02-4ED1-9B8A-FDEEDBDE1E5E}" destId="{26E8BDE7-6A0B-4438-BF3C-539E51DD8607}" srcOrd="0" destOrd="2" presId="urn:microsoft.com/office/officeart/2005/8/layout/vList6"/>
    <dgm:cxn modelId="{C78BC77B-26C8-4594-9378-D5723182D4FC}" type="presParOf" srcId="{FC931503-2837-4F55-A17B-4656F04A708B}" destId="{C8CAE7F4-0019-4DCC-97D2-542FF1DBB294}" srcOrd="0" destOrd="0" presId="urn:microsoft.com/office/officeart/2005/8/layout/vList6"/>
    <dgm:cxn modelId="{2177A0D8-3CAA-4032-B2B3-6FEAC9DA9141}" type="presParOf" srcId="{C8CAE7F4-0019-4DCC-97D2-542FF1DBB294}" destId="{4B440A2D-710B-4BA9-BCB1-C54F7A6E8F83}" srcOrd="0" destOrd="0" presId="urn:microsoft.com/office/officeart/2005/8/layout/vList6"/>
    <dgm:cxn modelId="{1BEDE242-982F-4E69-9AC1-D2A2468F10F5}" type="presParOf" srcId="{C8CAE7F4-0019-4DCC-97D2-542FF1DBB294}" destId="{7A721F1C-8442-4B7D-B2CC-3A8C887BDE77}" srcOrd="1" destOrd="0" presId="urn:microsoft.com/office/officeart/2005/8/layout/vList6"/>
    <dgm:cxn modelId="{53C87FC7-918D-4BE3-BFF2-B6825D7A3815}" type="presParOf" srcId="{FC931503-2837-4F55-A17B-4656F04A708B}" destId="{14419B7B-2223-47D6-A2F8-D04D1C51E213}" srcOrd="1" destOrd="0" presId="urn:microsoft.com/office/officeart/2005/8/layout/vList6"/>
    <dgm:cxn modelId="{B803182D-4B9B-4D33-A6B7-37B125510761}" type="presParOf" srcId="{FC931503-2837-4F55-A17B-4656F04A708B}" destId="{C26FC079-8D2E-45F8-954A-44BC52A02A3D}" srcOrd="2" destOrd="0" presId="urn:microsoft.com/office/officeart/2005/8/layout/vList6"/>
    <dgm:cxn modelId="{9627B5D9-6D9E-4F53-90CD-4F4799BFD5B9}" type="presParOf" srcId="{C26FC079-8D2E-45F8-954A-44BC52A02A3D}" destId="{394981C9-2863-4711-905E-1479C5322EC0}" srcOrd="0" destOrd="0" presId="urn:microsoft.com/office/officeart/2005/8/layout/vList6"/>
    <dgm:cxn modelId="{1FC7B28F-2F8C-4B65-96DB-CE9B43B94913}" type="presParOf" srcId="{C26FC079-8D2E-45F8-954A-44BC52A02A3D}" destId="{CDF16FFB-6CE5-4C52-968F-3BAF16910D1F}" srcOrd="1" destOrd="0" presId="urn:microsoft.com/office/officeart/2005/8/layout/vList6"/>
    <dgm:cxn modelId="{1CC2A494-A134-4400-A38A-095257859FAB}" type="presParOf" srcId="{FC931503-2837-4F55-A17B-4656F04A708B}" destId="{C400D605-4E9C-4858-BE3E-9A5DA485D716}" srcOrd="3" destOrd="0" presId="urn:microsoft.com/office/officeart/2005/8/layout/vList6"/>
    <dgm:cxn modelId="{2463AFE2-EA99-472D-9586-99C2FF223897}" type="presParOf" srcId="{FC931503-2837-4F55-A17B-4656F04A708B}" destId="{D65B1A16-B158-4107-9226-5A07BF100806}" srcOrd="4" destOrd="0" presId="urn:microsoft.com/office/officeart/2005/8/layout/vList6"/>
    <dgm:cxn modelId="{4111B8E4-7A66-43D2-8C56-00510D08D2CE}" type="presParOf" srcId="{D65B1A16-B158-4107-9226-5A07BF100806}" destId="{68345B52-3657-4111-852D-7DF2910EFC8D}" srcOrd="0" destOrd="0" presId="urn:microsoft.com/office/officeart/2005/8/layout/vList6"/>
    <dgm:cxn modelId="{4F88B923-CF2C-43F4-993E-1464E9C59FFE}" type="presParOf" srcId="{D65B1A16-B158-4107-9226-5A07BF100806}" destId="{26E8BDE7-6A0B-4438-BF3C-539E51DD8607}" srcOrd="1" destOrd="0" presId="urn:microsoft.com/office/officeart/2005/8/layout/vList6"/>
    <dgm:cxn modelId="{15586C21-EBE5-4AC4-B684-3D2C343E50AD}" type="presParOf" srcId="{FC931503-2837-4F55-A17B-4656F04A708B}" destId="{E520C9AF-E3A6-4ED0-91AD-7479770EFEAF}" srcOrd="5" destOrd="0" presId="urn:microsoft.com/office/officeart/2005/8/layout/vList6"/>
    <dgm:cxn modelId="{292893E1-B710-41EE-8D0E-D53F0AB5B1B3}" type="presParOf" srcId="{FC931503-2837-4F55-A17B-4656F04A708B}" destId="{D79BBE7E-8918-401C-B8DD-BBA3E6DFB40F}" srcOrd="6" destOrd="0" presId="urn:microsoft.com/office/officeart/2005/8/layout/vList6"/>
    <dgm:cxn modelId="{1DFC7804-413E-48C9-B02D-6DA4D758B4E1}" type="presParOf" srcId="{D79BBE7E-8918-401C-B8DD-BBA3E6DFB40F}" destId="{3221C8F2-6E52-432E-AF4D-47991445AA5A}" srcOrd="0" destOrd="0" presId="urn:microsoft.com/office/officeart/2005/8/layout/vList6"/>
    <dgm:cxn modelId="{5B072119-67EC-454D-B322-206D0156F026}" type="presParOf" srcId="{D79BBE7E-8918-401C-B8DD-BBA3E6DFB40F}" destId="{F276D9A1-4F4B-4AC0-8B56-A3478A924ECD}" srcOrd="1" destOrd="0" presId="urn:microsoft.com/office/officeart/2005/8/layout/vList6"/>
    <dgm:cxn modelId="{3BEB36CD-F373-4335-8525-5E56443205B0}" type="presParOf" srcId="{FC931503-2837-4F55-A17B-4656F04A708B}" destId="{3619DEFE-1F6B-43D6-8324-49AE36E11C7E}" srcOrd="7" destOrd="0" presId="urn:microsoft.com/office/officeart/2005/8/layout/vList6"/>
    <dgm:cxn modelId="{FA276C9E-12D8-4692-A881-CB9D335367A0}" type="presParOf" srcId="{FC931503-2837-4F55-A17B-4656F04A708B}" destId="{41CE6426-E9FC-422A-9F42-B666F581B06F}" srcOrd="8" destOrd="0" presId="urn:microsoft.com/office/officeart/2005/8/layout/vList6"/>
    <dgm:cxn modelId="{F0062F78-21FF-43DD-8BED-34431DD2DFE5}" type="presParOf" srcId="{41CE6426-E9FC-422A-9F42-B666F581B06F}" destId="{A4609750-B5D6-45B6-A39A-B57CC4BB0EAF}" srcOrd="0" destOrd="0" presId="urn:microsoft.com/office/officeart/2005/8/layout/vList6"/>
    <dgm:cxn modelId="{5C8E4E4F-0E02-4112-BB0E-3C2A02414D7B}" type="presParOf" srcId="{41CE6426-E9FC-422A-9F42-B666F581B06F}" destId="{17EF7E93-6B14-4F6D-A3D0-1F23A64FEA6B}" srcOrd="1" destOrd="0" presId="urn:microsoft.com/office/officeart/2005/8/layout/vList6"/>
    <dgm:cxn modelId="{F5DC84A7-99E8-4140-8E2E-F7DAB60457B8}" type="presParOf" srcId="{FC931503-2837-4F55-A17B-4656F04A708B}" destId="{3D91545B-39D9-40DC-9574-929AC24E25BD}" srcOrd="9" destOrd="0" presId="urn:microsoft.com/office/officeart/2005/8/layout/vList6"/>
    <dgm:cxn modelId="{CD6B93F3-CDAD-4FD7-9472-59690E81DBDB}" type="presParOf" srcId="{FC931503-2837-4F55-A17B-4656F04A708B}" destId="{15297561-B846-48D1-8FBC-F71C54AD5A22}" srcOrd="10" destOrd="0" presId="urn:microsoft.com/office/officeart/2005/8/layout/vList6"/>
    <dgm:cxn modelId="{CBC4863B-8F9E-4C40-9A46-1054A1FFC86E}" type="presParOf" srcId="{15297561-B846-48D1-8FBC-F71C54AD5A22}" destId="{C1026AE3-3818-48AC-861B-6A3AD77BF423}" srcOrd="0" destOrd="0" presId="urn:microsoft.com/office/officeart/2005/8/layout/vList6"/>
    <dgm:cxn modelId="{816B98C4-95DF-4171-984B-D32A25AACD37}" type="presParOf" srcId="{15297561-B846-48D1-8FBC-F71C54AD5A22}" destId="{6216B28F-2190-4D63-A157-381DCB790D69}" srcOrd="1" destOrd="0" presId="urn:microsoft.com/office/officeart/2005/8/layout/vList6"/>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0837261F-E9DB-457D-B9D1-D2E5823F02FB}" type="doc">
      <dgm:prSet loTypeId="urn:microsoft.com/office/officeart/2005/8/layout/vList6" loCatId="list" qsTypeId="urn:microsoft.com/office/officeart/2005/8/quickstyle/simple1" qsCatId="simple" csTypeId="urn:microsoft.com/office/officeart/2005/8/colors/accent1_2" csCatId="accent1" phldr="1"/>
      <dgm:spPr/>
      <dgm:t>
        <a:bodyPr/>
        <a:lstStyle/>
        <a:p>
          <a:endParaRPr lang="bg-BG"/>
        </a:p>
      </dgm:t>
    </dgm:pt>
    <dgm:pt modelId="{EEDA81E9-7753-464B-B398-484283D91C72}">
      <dgm:prSet phldrT="[Text]" custT="1"/>
      <dgm:spPr>
        <a:xfrm>
          <a:off x="0" y="114568"/>
          <a:ext cx="1773573" cy="482161"/>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bg-BG" sz="1100">
              <a:solidFill>
                <a:sysClr val="window" lastClr="FFFFFF"/>
              </a:solidFill>
              <a:latin typeface="Calibri"/>
              <a:ea typeface="+mn-ea"/>
              <a:cs typeface="+mn-cs"/>
            </a:rPr>
            <a:t>(1) Представяне на контекста</a:t>
          </a:r>
        </a:p>
      </dgm:t>
    </dgm:pt>
    <dgm:pt modelId="{2A96EA5E-46BB-49DE-A16D-E77D3BE8FA73}" type="parTrans" cxnId="{9A992777-3E83-4B59-A544-223F7DE3366E}">
      <dgm:prSet/>
      <dgm:spPr/>
      <dgm:t>
        <a:bodyPr/>
        <a:lstStyle/>
        <a:p>
          <a:endParaRPr lang="bg-BG"/>
        </a:p>
      </dgm:t>
    </dgm:pt>
    <dgm:pt modelId="{8CD77B7A-5A58-472F-ACA8-3905DFFC444C}" type="sibTrans" cxnId="{9A992777-3E83-4B59-A544-223F7DE3366E}">
      <dgm:prSet/>
      <dgm:spPr/>
      <dgm:t>
        <a:bodyPr/>
        <a:lstStyle/>
        <a:p>
          <a:endParaRPr lang="bg-BG"/>
        </a:p>
      </dgm:t>
    </dgm:pt>
    <dgm:pt modelId="{9E999F14-0FC8-4A93-AA08-D99FD1141070}">
      <dgm:prSet phldrT="[Text]"/>
      <dgm:spPr>
        <a:xfrm>
          <a:off x="0" y="915467"/>
          <a:ext cx="1771841" cy="482161"/>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bg-BG">
              <a:solidFill>
                <a:sysClr val="window" lastClr="FFFFFF"/>
              </a:solidFill>
              <a:latin typeface="Calibri"/>
              <a:ea typeface="+mn-ea"/>
              <a:cs typeface="+mn-cs"/>
            </a:rPr>
            <a:t>(2) Определяне на целите</a:t>
          </a:r>
        </a:p>
      </dgm:t>
    </dgm:pt>
    <dgm:pt modelId="{AC509649-6451-49EF-BF0B-5828DB8ADF3F}" type="parTrans" cxnId="{082667E9-6479-4B5B-A839-AC412AE6D29F}">
      <dgm:prSet/>
      <dgm:spPr/>
      <dgm:t>
        <a:bodyPr/>
        <a:lstStyle/>
        <a:p>
          <a:endParaRPr lang="bg-BG"/>
        </a:p>
      </dgm:t>
    </dgm:pt>
    <dgm:pt modelId="{E6A76BBE-A95B-4FA0-9E19-669EC7F76C58}" type="sibTrans" cxnId="{082667E9-6479-4B5B-A839-AC412AE6D29F}">
      <dgm:prSet/>
      <dgm:spPr/>
      <dgm:t>
        <a:bodyPr/>
        <a:lstStyle/>
        <a:p>
          <a:endParaRPr lang="bg-BG"/>
        </a:p>
      </dgm:t>
    </dgm:pt>
    <dgm:pt modelId="{024C670E-461F-4633-9648-16B08CD0F708}">
      <dgm:prSet phldrT="[Text]" custT="1"/>
      <dgm:spPr>
        <a:xfrm>
          <a:off x="1784083" y="37612"/>
          <a:ext cx="7226946" cy="711588"/>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Социално-икономическите условия в държавата/региона, с които е свързан проектът;</a:t>
          </a:r>
        </a:p>
      </dgm:t>
    </dgm:pt>
    <dgm:pt modelId="{F5F94BAA-7DC9-4F13-91DB-002DB4422673}" type="sibTrans" cxnId="{414A8308-930D-4411-927B-0472F8AB5D44}">
      <dgm:prSet/>
      <dgm:spPr/>
      <dgm:t>
        <a:bodyPr/>
        <a:lstStyle/>
        <a:p>
          <a:endParaRPr lang="bg-BG"/>
        </a:p>
      </dgm:t>
    </dgm:pt>
    <dgm:pt modelId="{C26CABA1-C41F-400E-BDE8-3DEAF1CB16A2}" type="parTrans" cxnId="{414A8308-930D-4411-927B-0472F8AB5D44}">
      <dgm:prSet/>
      <dgm:spPr/>
      <dgm:t>
        <a:bodyPr/>
        <a:lstStyle/>
        <a:p>
          <a:endParaRPr lang="bg-BG"/>
        </a:p>
      </dgm:t>
    </dgm:pt>
    <dgm:pt modelId="{209C0FCE-A28A-4638-8F31-7098A0074E18}">
      <dgm:prSet/>
      <dgm:spPr>
        <a:xfrm>
          <a:off x="0" y="1712490"/>
          <a:ext cx="1771841" cy="482161"/>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bg-BG">
              <a:solidFill>
                <a:sysClr val="window" lastClr="FFFFFF"/>
              </a:solidFill>
              <a:latin typeface="Calibri"/>
              <a:ea typeface="+mn-ea"/>
              <a:cs typeface="+mn-cs"/>
            </a:rPr>
            <a:t>(3) Идентификация на проекта</a:t>
          </a:r>
        </a:p>
      </dgm:t>
    </dgm:pt>
    <dgm:pt modelId="{DA1F1826-BFC3-483B-B4C9-3EBD78DABAEC}" type="parTrans" cxnId="{DE50B3CB-37F9-435F-B784-DE4ED291DBAD}">
      <dgm:prSet/>
      <dgm:spPr/>
      <dgm:t>
        <a:bodyPr/>
        <a:lstStyle/>
        <a:p>
          <a:endParaRPr lang="bg-BG"/>
        </a:p>
      </dgm:t>
    </dgm:pt>
    <dgm:pt modelId="{2F8C169F-3B57-4F2D-86DE-ED892EEBC518}" type="sibTrans" cxnId="{DE50B3CB-37F9-435F-B784-DE4ED291DBAD}">
      <dgm:prSet/>
      <dgm:spPr/>
      <dgm:t>
        <a:bodyPr/>
        <a:lstStyle/>
        <a:p>
          <a:endParaRPr lang="bg-BG"/>
        </a:p>
      </dgm:t>
    </dgm:pt>
    <dgm:pt modelId="{7A3DEFD0-56B1-485C-9005-268A9DF6276F}">
      <dgm:prSet/>
      <dgm:spPr>
        <a:xfrm>
          <a:off x="0" y="3240537"/>
          <a:ext cx="1773573" cy="482161"/>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bg-BG">
              <a:solidFill>
                <a:sysClr val="window" lastClr="FFFFFF"/>
              </a:solidFill>
              <a:latin typeface="Calibri"/>
              <a:ea typeface="+mn-ea"/>
              <a:cs typeface="+mn-cs"/>
            </a:rPr>
            <a:t>(5) Финансов анализ</a:t>
          </a:r>
        </a:p>
      </dgm:t>
    </dgm:pt>
    <dgm:pt modelId="{CD934D39-27A7-4510-A987-55530173C7A4}" type="parTrans" cxnId="{92ECE948-416A-4318-AE64-C8490B445DB9}">
      <dgm:prSet/>
      <dgm:spPr/>
      <dgm:t>
        <a:bodyPr/>
        <a:lstStyle/>
        <a:p>
          <a:endParaRPr lang="bg-BG"/>
        </a:p>
      </dgm:t>
    </dgm:pt>
    <dgm:pt modelId="{9AC3BB9F-575B-4783-9168-BBB535724F00}" type="sibTrans" cxnId="{92ECE948-416A-4318-AE64-C8490B445DB9}">
      <dgm:prSet/>
      <dgm:spPr/>
      <dgm:t>
        <a:bodyPr/>
        <a:lstStyle/>
        <a:p>
          <a:endParaRPr lang="bg-BG"/>
        </a:p>
      </dgm:t>
    </dgm:pt>
    <dgm:pt modelId="{3AB4EF6F-28DB-4179-8548-070ECF73796D}">
      <dgm:prSet/>
      <dgm:spPr>
        <a:xfrm>
          <a:off x="0" y="3982533"/>
          <a:ext cx="1773573" cy="482161"/>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bg-BG">
              <a:solidFill>
                <a:sysClr val="window" lastClr="FFFFFF"/>
              </a:solidFill>
              <a:latin typeface="Calibri"/>
              <a:ea typeface="+mn-ea"/>
              <a:cs typeface="+mn-cs"/>
            </a:rPr>
            <a:t>(6) Икономически анализ</a:t>
          </a:r>
        </a:p>
      </dgm:t>
    </dgm:pt>
    <dgm:pt modelId="{ADF9CC58-AD2C-4DF3-B1CD-46B958680BD6}" type="parTrans" cxnId="{9C9EA66A-7CF5-4E1C-B301-B6A1BA6213FD}">
      <dgm:prSet/>
      <dgm:spPr/>
      <dgm:t>
        <a:bodyPr/>
        <a:lstStyle/>
        <a:p>
          <a:endParaRPr lang="bg-BG"/>
        </a:p>
      </dgm:t>
    </dgm:pt>
    <dgm:pt modelId="{895F93EB-063D-42D5-830A-E3E54A49DF92}" type="sibTrans" cxnId="{9C9EA66A-7CF5-4E1C-B301-B6A1BA6213FD}">
      <dgm:prSet/>
      <dgm:spPr/>
      <dgm:t>
        <a:bodyPr/>
        <a:lstStyle/>
        <a:p>
          <a:endParaRPr lang="bg-BG"/>
        </a:p>
      </dgm:t>
    </dgm:pt>
    <dgm:pt modelId="{17173E74-B174-40D9-83EA-10CA7392DB4E}">
      <dgm:prSet/>
      <dgm:spPr>
        <a:xfrm>
          <a:off x="0" y="4699445"/>
          <a:ext cx="1773573" cy="482161"/>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bg-BG">
              <a:solidFill>
                <a:sysClr val="window" lastClr="FFFFFF"/>
              </a:solidFill>
              <a:latin typeface="Calibri"/>
              <a:ea typeface="+mn-ea"/>
              <a:cs typeface="+mn-cs"/>
            </a:rPr>
            <a:t>(7) Оценка на риска</a:t>
          </a:r>
        </a:p>
      </dgm:t>
    </dgm:pt>
    <dgm:pt modelId="{218ECB18-B715-43C0-A52D-94796B70E37A}" type="parTrans" cxnId="{0A9D98EA-62DA-4150-8198-EC2E857089C8}">
      <dgm:prSet/>
      <dgm:spPr/>
      <dgm:t>
        <a:bodyPr/>
        <a:lstStyle/>
        <a:p>
          <a:endParaRPr lang="bg-BG"/>
        </a:p>
      </dgm:t>
    </dgm:pt>
    <dgm:pt modelId="{2E767C3B-1BB8-4F38-86F6-FCC4824CEFBA}" type="sibTrans" cxnId="{0A9D98EA-62DA-4150-8198-EC2E857089C8}">
      <dgm:prSet/>
      <dgm:spPr/>
      <dgm:t>
        <a:bodyPr/>
        <a:lstStyle/>
        <a:p>
          <a:endParaRPr lang="bg-BG"/>
        </a:p>
      </dgm:t>
    </dgm:pt>
    <dgm:pt modelId="{08EDB7F2-A044-477B-B49B-E43C85CFA70B}">
      <dgm:prSet/>
      <dgm:spPr>
        <a:xfrm>
          <a:off x="0" y="2487104"/>
          <a:ext cx="1773573" cy="482161"/>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bg-BG">
              <a:solidFill>
                <a:sysClr val="window" lastClr="FFFFFF"/>
              </a:solidFill>
              <a:latin typeface="Calibri"/>
              <a:ea typeface="+mn-ea"/>
              <a:cs typeface="+mn-cs"/>
            </a:rPr>
            <a:t>(4) Резултати от предпроектните проучвания с анализ на търсенето и на вариантите</a:t>
          </a:r>
        </a:p>
      </dgm:t>
    </dgm:pt>
    <dgm:pt modelId="{A5B9A3BA-C1CB-495F-8054-01994B5E0D30}" type="parTrans" cxnId="{54D707D7-AD5C-4553-B9FE-42751C03370E}">
      <dgm:prSet/>
      <dgm:spPr/>
      <dgm:t>
        <a:bodyPr/>
        <a:lstStyle/>
        <a:p>
          <a:endParaRPr lang="bg-BG"/>
        </a:p>
      </dgm:t>
    </dgm:pt>
    <dgm:pt modelId="{1B50A007-1577-4E5D-A517-194C1D860F75}" type="sibTrans" cxnId="{54D707D7-AD5C-4553-B9FE-42751C03370E}">
      <dgm:prSet/>
      <dgm:spPr/>
      <dgm:t>
        <a:bodyPr/>
        <a:lstStyle/>
        <a:p>
          <a:endParaRPr lang="bg-BG"/>
        </a:p>
      </dgm:t>
    </dgm:pt>
    <dgm:pt modelId="{E316B52F-1CFC-40A4-BEF8-EF191DD7EA0C}">
      <dgm:prSet custT="1"/>
      <dgm:spPr>
        <a:xfrm>
          <a:off x="1784083" y="37612"/>
          <a:ext cx="7226946" cy="711588"/>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 Политиката и институционалните аспекти, включително съществуващите икономически политики и планове за развитие със заложените политическите цели;</a:t>
          </a:r>
        </a:p>
      </dgm:t>
    </dgm:pt>
    <dgm:pt modelId="{8AC61CEF-7B09-4A10-B198-5CEE187DB234}" type="parTrans" cxnId="{8810E737-20ED-4B9F-B059-57A21E784791}">
      <dgm:prSet/>
      <dgm:spPr/>
      <dgm:t>
        <a:bodyPr/>
        <a:lstStyle/>
        <a:p>
          <a:endParaRPr lang="bg-BG"/>
        </a:p>
      </dgm:t>
    </dgm:pt>
    <dgm:pt modelId="{2BDEF617-8BB3-4F7A-A490-DABD16417C3B}" type="sibTrans" cxnId="{8810E737-20ED-4B9F-B059-57A21E784791}">
      <dgm:prSet/>
      <dgm:spPr/>
      <dgm:t>
        <a:bodyPr/>
        <a:lstStyle/>
        <a:p>
          <a:endParaRPr lang="bg-BG"/>
        </a:p>
      </dgm:t>
    </dgm:pt>
    <dgm:pt modelId="{B1D1E2CF-B046-4193-A35A-E65974E55BFA}">
      <dgm:prSet custT="1"/>
      <dgm:spPr>
        <a:xfrm>
          <a:off x="1784083" y="37612"/>
          <a:ext cx="7226946" cy="711588"/>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 Съществуващата инфраструктура и предлагане на услуги; възприемането и очакванията на населението по отношение на новата услуга.</a:t>
          </a:r>
        </a:p>
      </dgm:t>
    </dgm:pt>
    <dgm:pt modelId="{3927466F-ED30-4082-A9F6-E8DFE7B455EA}" type="parTrans" cxnId="{9E3365A9-A1FD-4D68-A135-42B04878A471}">
      <dgm:prSet/>
      <dgm:spPr/>
      <dgm:t>
        <a:bodyPr/>
        <a:lstStyle/>
        <a:p>
          <a:endParaRPr lang="bg-BG"/>
        </a:p>
      </dgm:t>
    </dgm:pt>
    <dgm:pt modelId="{F4A37C0F-5240-4C94-9120-B5241184125E}" type="sibTrans" cxnId="{9E3365A9-A1FD-4D68-A135-42B04878A471}">
      <dgm:prSet/>
      <dgm:spPr/>
      <dgm:t>
        <a:bodyPr/>
        <a:lstStyle/>
        <a:p>
          <a:endParaRPr lang="bg-BG"/>
        </a:p>
      </dgm:t>
    </dgm:pt>
    <dgm:pt modelId="{737D0303-D03F-486C-BFFA-DABDE8DC015E}">
      <dgm:prSet custT="1"/>
      <dgm:spPr>
        <a:xfrm>
          <a:off x="1786800" y="1639035"/>
          <a:ext cx="7219889" cy="703835"/>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Проектът трябва да е ясно идентифициран като самостоятелна единица за анализ;</a:t>
          </a:r>
        </a:p>
      </dgm:t>
    </dgm:pt>
    <dgm:pt modelId="{FCBA1AD1-3212-4F13-836E-6021D501DE89}" type="parTrans" cxnId="{2FF4F7FD-27C2-4F76-8D91-93A0C822ADE1}">
      <dgm:prSet/>
      <dgm:spPr/>
      <dgm:t>
        <a:bodyPr/>
        <a:lstStyle/>
        <a:p>
          <a:endParaRPr lang="bg-BG"/>
        </a:p>
      </dgm:t>
    </dgm:pt>
    <dgm:pt modelId="{EB823546-9311-472E-AB30-D75401922542}" type="sibTrans" cxnId="{2FF4F7FD-27C2-4F76-8D91-93A0C822ADE1}">
      <dgm:prSet/>
      <dgm:spPr/>
      <dgm:t>
        <a:bodyPr/>
        <a:lstStyle/>
        <a:p>
          <a:endParaRPr lang="bg-BG"/>
        </a:p>
      </dgm:t>
    </dgm:pt>
    <dgm:pt modelId="{A8B25DCA-DC77-47E2-BF9D-425B91465C08}">
      <dgm:prSet custT="1"/>
      <dgm:spPr>
        <a:xfrm>
          <a:off x="1786800" y="1639035"/>
          <a:ext cx="7219889" cy="703835"/>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 описание на районът на въздействие, крайните бенефициенти и и съответните заинтересовани страни;</a:t>
          </a:r>
        </a:p>
      </dgm:t>
    </dgm:pt>
    <dgm:pt modelId="{67716A5A-2E35-480E-B019-86C83B555DC2}" type="parTrans" cxnId="{C5B80E8C-9A4B-453D-BC7B-EB12789738BB}">
      <dgm:prSet/>
      <dgm:spPr/>
      <dgm:t>
        <a:bodyPr/>
        <a:lstStyle/>
        <a:p>
          <a:endParaRPr lang="bg-BG"/>
        </a:p>
      </dgm:t>
    </dgm:pt>
    <dgm:pt modelId="{CC9515A2-956B-40DE-882D-93020FC54C63}" type="sibTrans" cxnId="{C5B80E8C-9A4B-453D-BC7B-EB12789738BB}">
      <dgm:prSet/>
      <dgm:spPr/>
      <dgm:t>
        <a:bodyPr/>
        <a:lstStyle/>
        <a:p>
          <a:endParaRPr lang="bg-BG"/>
        </a:p>
      </dgm:t>
    </dgm:pt>
    <dgm:pt modelId="{A3592444-ED42-4432-9B01-35C7EC4E4B20}">
      <dgm:prSet custT="1"/>
      <dgm:spPr>
        <a:xfrm>
          <a:off x="1786800" y="1639035"/>
          <a:ext cx="7219889" cy="703835"/>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Структура, отговаряща за изпълнението;</a:t>
          </a:r>
        </a:p>
      </dgm:t>
    </dgm:pt>
    <dgm:pt modelId="{7B3FF44B-BC1C-4FBB-8802-82A0A3650C90}" type="parTrans" cxnId="{3D3B60B8-FA43-41D9-8EF2-675C25DDA7B6}">
      <dgm:prSet/>
      <dgm:spPr/>
      <dgm:t>
        <a:bodyPr/>
        <a:lstStyle/>
        <a:p>
          <a:endParaRPr lang="bg-BG"/>
        </a:p>
      </dgm:t>
    </dgm:pt>
    <dgm:pt modelId="{EA68F3D5-9829-4881-839F-7C0EBA259948}" type="sibTrans" cxnId="{3D3B60B8-FA43-41D9-8EF2-675C25DDA7B6}">
      <dgm:prSet/>
      <dgm:spPr/>
      <dgm:t>
        <a:bodyPr/>
        <a:lstStyle/>
        <a:p>
          <a:endParaRPr lang="bg-BG"/>
        </a:p>
      </dgm:t>
    </dgm:pt>
    <dgm:pt modelId="{41BE08D0-0BAC-43FF-8736-DA1FAA952D41}">
      <dgm:prSet custT="1"/>
      <dgm:spPr>
        <a:xfrm>
          <a:off x="1775652" y="2385802"/>
          <a:ext cx="7226946" cy="748960"/>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Анализ на осъществимостта - потенциалните ограничения и свързаните с тях решения по отношение на техническите, икономическите, екологичните аспекти, както и във връзка със смекчаването на изменението на климата и адаптирането към него, регулаторните и институционалните аспекти;</a:t>
          </a:r>
        </a:p>
      </dgm:t>
    </dgm:pt>
    <dgm:pt modelId="{058F252C-457D-4B5E-B29B-127225337893}" type="parTrans" cxnId="{6AAF1074-B871-4185-BAA5-69BABB412C7B}">
      <dgm:prSet/>
      <dgm:spPr/>
      <dgm:t>
        <a:bodyPr/>
        <a:lstStyle/>
        <a:p>
          <a:endParaRPr lang="bg-BG"/>
        </a:p>
      </dgm:t>
    </dgm:pt>
    <dgm:pt modelId="{106BD200-CF6C-4628-9AE1-7B0CDB48AD6E}" type="sibTrans" cxnId="{6AAF1074-B871-4185-BAA5-69BABB412C7B}">
      <dgm:prSet/>
      <dgm:spPr/>
      <dgm:t>
        <a:bodyPr/>
        <a:lstStyle/>
        <a:p>
          <a:endParaRPr lang="bg-BG"/>
        </a:p>
      </dgm:t>
    </dgm:pt>
    <dgm:pt modelId="{D317415F-C09A-458D-88BC-09F3A9C27539}">
      <dgm:prSet custT="1"/>
      <dgm:spPr>
        <a:xfrm>
          <a:off x="1775652" y="2385802"/>
          <a:ext cx="7226946" cy="748960"/>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Анализ на търсенето - настоящото търсене, прогнозното търсене, аспекти на предлагането, мрежов ефект;</a:t>
          </a:r>
        </a:p>
      </dgm:t>
    </dgm:pt>
    <dgm:pt modelId="{FE5D8E76-73D5-4632-A6D5-FD2A76121357}" type="parTrans" cxnId="{C213B33A-DFEB-433F-B51B-C8738F661772}">
      <dgm:prSet/>
      <dgm:spPr/>
      <dgm:t>
        <a:bodyPr/>
        <a:lstStyle/>
        <a:p>
          <a:endParaRPr lang="bg-BG"/>
        </a:p>
      </dgm:t>
    </dgm:pt>
    <dgm:pt modelId="{2814473F-A27C-4D8D-BA59-30392B3DFAD5}" type="sibTrans" cxnId="{C213B33A-DFEB-433F-B51B-C8738F661772}">
      <dgm:prSet/>
      <dgm:spPr/>
      <dgm:t>
        <a:bodyPr/>
        <a:lstStyle/>
        <a:p>
          <a:endParaRPr lang="bg-BG"/>
        </a:p>
      </dgm:t>
    </dgm:pt>
    <dgm:pt modelId="{DB10B867-E170-43B7-9D0F-EB8E5123619A}">
      <dgm:prSet custT="1"/>
      <dgm:spPr>
        <a:xfrm>
          <a:off x="1775652" y="2385802"/>
          <a:ext cx="7226946" cy="748960"/>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Анализ на вариантите;</a:t>
          </a:r>
        </a:p>
      </dgm:t>
    </dgm:pt>
    <dgm:pt modelId="{49E2CD38-5302-4535-8DF3-D4A64826D725}" type="parTrans" cxnId="{D0C8A00F-EA47-4266-9B7F-6B5726764914}">
      <dgm:prSet/>
      <dgm:spPr/>
      <dgm:t>
        <a:bodyPr/>
        <a:lstStyle/>
        <a:p>
          <a:endParaRPr lang="bg-BG"/>
        </a:p>
      </dgm:t>
    </dgm:pt>
    <dgm:pt modelId="{EA5782C6-1767-4AA8-AB41-D0F99156A5D7}" type="sibTrans" cxnId="{D0C8A00F-EA47-4266-9B7F-6B5726764914}">
      <dgm:prSet/>
      <dgm:spPr/>
      <dgm:t>
        <a:bodyPr/>
        <a:lstStyle/>
        <a:p>
          <a:endParaRPr lang="bg-BG"/>
        </a:p>
      </dgm:t>
    </dgm:pt>
    <dgm:pt modelId="{EBE5B30C-FF18-4B96-A478-ADD8528AEE5F}">
      <dgm:prSet custT="1"/>
      <dgm:spPr>
        <a:xfrm>
          <a:off x="1754410" y="3188485"/>
          <a:ext cx="7226946" cy="661472"/>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Методология на дисконтираните парични потоци, прилагане на метода на пределните величини и други принципи на финансовия анализ;</a:t>
          </a:r>
        </a:p>
      </dgm:t>
    </dgm:pt>
    <dgm:pt modelId="{201F9B1F-3D02-4D50-B20F-246C836E4D44}" type="parTrans" cxnId="{BC849350-A561-4EF2-A903-0B0ED564C943}">
      <dgm:prSet/>
      <dgm:spPr/>
      <dgm:t>
        <a:bodyPr/>
        <a:lstStyle/>
        <a:p>
          <a:endParaRPr lang="bg-BG"/>
        </a:p>
      </dgm:t>
    </dgm:pt>
    <dgm:pt modelId="{E51757FC-AD1F-40E3-B0EA-EBF2E48AC3A4}" type="sibTrans" cxnId="{BC849350-A561-4EF2-A903-0B0ED564C943}">
      <dgm:prSet/>
      <dgm:spPr/>
      <dgm:t>
        <a:bodyPr/>
        <a:lstStyle/>
        <a:p>
          <a:endParaRPr lang="bg-BG"/>
        </a:p>
      </dgm:t>
    </dgm:pt>
    <dgm:pt modelId="{BB0D39AD-41B4-4D85-A0A5-41E459B76496}">
      <dgm:prSet custT="1"/>
      <dgm:spPr>
        <a:xfrm>
          <a:off x="1754410" y="3188485"/>
          <a:ext cx="7226946" cy="661472"/>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Резултати от финансовия анализ - оценка на финансовата рентабилност на инвестицията и на националния капитал, определяне на подходящия (максимален) принос от фондовете, осигуряване на финансова жизнеспособност (устойчивост);</a:t>
          </a:r>
        </a:p>
      </dgm:t>
    </dgm:pt>
    <dgm:pt modelId="{64D6EC7C-32DA-43C1-85E2-F5E2B13F389D}" type="parTrans" cxnId="{2F955496-8AAA-48F8-B8EC-4D1C3C8CABB0}">
      <dgm:prSet/>
      <dgm:spPr/>
      <dgm:t>
        <a:bodyPr/>
        <a:lstStyle/>
        <a:p>
          <a:endParaRPr lang="bg-BG"/>
        </a:p>
      </dgm:t>
    </dgm:pt>
    <dgm:pt modelId="{6273FD0B-8BBD-43E5-A756-73B4A87C0482}" type="sibTrans" cxnId="{2F955496-8AAA-48F8-B8EC-4D1C3C8CABB0}">
      <dgm:prSet/>
      <dgm:spPr/>
      <dgm:t>
        <a:bodyPr/>
        <a:lstStyle/>
        <a:p>
          <a:endParaRPr lang="bg-BG"/>
        </a:p>
      </dgm:t>
    </dgm:pt>
    <dgm:pt modelId="{B45ED986-0A34-4C60-9597-6C45E4F5DA64}">
      <dgm:prSet custT="1"/>
      <dgm:spPr>
        <a:xfrm>
          <a:off x="1754410" y="3188485"/>
          <a:ext cx="7226946" cy="661472"/>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Финансов анализ при публично-частното партньорство (ПЧП);</a:t>
          </a:r>
        </a:p>
      </dgm:t>
    </dgm:pt>
    <dgm:pt modelId="{3CF467AA-6A94-44A4-9A56-3776D7D6EBAE}" type="parTrans" cxnId="{1BF70FB5-28CE-4EC3-8837-7EF708E87F96}">
      <dgm:prSet/>
      <dgm:spPr/>
      <dgm:t>
        <a:bodyPr/>
        <a:lstStyle/>
        <a:p>
          <a:endParaRPr lang="bg-BG"/>
        </a:p>
      </dgm:t>
    </dgm:pt>
    <dgm:pt modelId="{4ED62016-26EA-406B-8213-030D200046FC}" type="sibTrans" cxnId="{1BF70FB5-28CE-4EC3-8837-7EF708E87F96}">
      <dgm:prSet/>
      <dgm:spPr/>
      <dgm:t>
        <a:bodyPr/>
        <a:lstStyle/>
        <a:p>
          <a:endParaRPr lang="bg-BG"/>
        </a:p>
      </dgm:t>
    </dgm:pt>
    <dgm:pt modelId="{3A636FD3-982F-42DD-A432-990B94DA0D79}">
      <dgm:prSet custT="1"/>
      <dgm:spPr>
        <a:xfrm>
          <a:off x="1784083" y="3886829"/>
          <a:ext cx="7226946" cy="719635"/>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Основни етапи на икономическия анализ;</a:t>
          </a:r>
        </a:p>
      </dgm:t>
    </dgm:pt>
    <dgm:pt modelId="{B28B6AD7-00ED-4D00-A3C4-4913C0AB88EF}" type="parTrans" cxnId="{31E35E2B-ED2E-462A-8380-4CA50E7DAA36}">
      <dgm:prSet/>
      <dgm:spPr/>
      <dgm:t>
        <a:bodyPr/>
        <a:lstStyle/>
        <a:p>
          <a:endParaRPr lang="bg-BG"/>
        </a:p>
      </dgm:t>
    </dgm:pt>
    <dgm:pt modelId="{2340945A-3C30-45AB-9D1C-27E632A4AC72}" type="sibTrans" cxnId="{31E35E2B-ED2E-462A-8380-4CA50E7DAA36}">
      <dgm:prSet/>
      <dgm:spPr/>
      <dgm:t>
        <a:bodyPr/>
        <a:lstStyle/>
        <a:p>
          <a:endParaRPr lang="bg-BG"/>
        </a:p>
      </dgm:t>
    </dgm:pt>
    <dgm:pt modelId="{BDA8C97A-6AD7-424C-A6BA-48A35FAAD941}">
      <dgm:prSet custT="1"/>
      <dgm:spPr>
        <a:xfrm>
          <a:off x="1784083" y="3886829"/>
          <a:ext cx="7226946" cy="719635"/>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Изчисляване на показателите за икономическото изпълнение;</a:t>
          </a:r>
        </a:p>
      </dgm:t>
    </dgm:pt>
    <dgm:pt modelId="{099D0179-2C7D-474F-B390-17F85E00B57B}" type="parTrans" cxnId="{AE3BDDBB-363D-4128-B76B-8AA210D6BCF1}">
      <dgm:prSet/>
      <dgm:spPr/>
      <dgm:t>
        <a:bodyPr/>
        <a:lstStyle/>
        <a:p>
          <a:endParaRPr lang="bg-BG"/>
        </a:p>
      </dgm:t>
    </dgm:pt>
    <dgm:pt modelId="{7F644A92-1FE7-4218-A024-1CD1C6C37374}" type="sibTrans" cxnId="{AE3BDDBB-363D-4128-B76B-8AA210D6BCF1}">
      <dgm:prSet/>
      <dgm:spPr/>
      <dgm:t>
        <a:bodyPr/>
        <a:lstStyle/>
        <a:p>
          <a:endParaRPr lang="bg-BG"/>
        </a:p>
      </dgm:t>
    </dgm:pt>
    <dgm:pt modelId="{9B1C9DA6-ABD4-454C-9B81-0B2C4B64A088}">
      <dgm:prSet custT="1"/>
      <dgm:spPr>
        <a:xfrm>
          <a:off x="1784083" y="3886829"/>
          <a:ext cx="7226946" cy="719635"/>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Смекчаване на последиците от изменението на климата и приспособяване към него в рамките на икономическия анализ;</a:t>
          </a:r>
        </a:p>
      </dgm:t>
    </dgm:pt>
    <dgm:pt modelId="{3EA829BE-4BCD-469A-A015-5580207C66D5}" type="parTrans" cxnId="{FDCD94D5-BA37-4C42-9EDC-381EB043D258}">
      <dgm:prSet/>
      <dgm:spPr/>
      <dgm:t>
        <a:bodyPr/>
        <a:lstStyle/>
        <a:p>
          <a:endParaRPr lang="bg-BG"/>
        </a:p>
      </dgm:t>
    </dgm:pt>
    <dgm:pt modelId="{3351B9EE-D1BB-430B-99AC-AF624F344F1C}" type="sibTrans" cxnId="{FDCD94D5-BA37-4C42-9EDC-381EB043D258}">
      <dgm:prSet/>
      <dgm:spPr/>
      <dgm:t>
        <a:bodyPr/>
        <a:lstStyle/>
        <a:p>
          <a:endParaRPr lang="bg-BG"/>
        </a:p>
      </dgm:t>
    </dgm:pt>
    <dgm:pt modelId="{84880478-792C-4886-9A26-91EF0B6DA13F}">
      <dgm:prSet custT="1"/>
      <dgm:spPr>
        <a:xfrm>
          <a:off x="1784083" y="3886829"/>
          <a:ext cx="7226946" cy="719635"/>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Опростен икономически анализ в специални случаи.</a:t>
          </a:r>
        </a:p>
      </dgm:t>
    </dgm:pt>
    <dgm:pt modelId="{A1D33792-2284-499E-89CD-0FF1E6D0BB2D}" type="parTrans" cxnId="{A0EC6182-7314-4FD5-B099-08E584B27D17}">
      <dgm:prSet/>
      <dgm:spPr/>
      <dgm:t>
        <a:bodyPr/>
        <a:lstStyle/>
        <a:p>
          <a:endParaRPr lang="bg-BG"/>
        </a:p>
      </dgm:t>
    </dgm:pt>
    <dgm:pt modelId="{68948B66-5534-4BB6-ACB1-C0D341DD4560}" type="sibTrans" cxnId="{A0EC6182-7314-4FD5-B099-08E584B27D17}">
      <dgm:prSet/>
      <dgm:spPr/>
      <dgm:t>
        <a:bodyPr/>
        <a:lstStyle/>
        <a:p>
          <a:endParaRPr lang="bg-BG"/>
        </a:p>
      </dgm:t>
    </dgm:pt>
    <dgm:pt modelId="{003ED998-6B25-4DB1-8198-E4D89F6A8A70}">
      <dgm:prSet custT="1"/>
      <dgm:spPr>
        <a:xfrm>
          <a:off x="1784083" y="4619917"/>
          <a:ext cx="7226946" cy="617755"/>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Анализ на чувствителността;</a:t>
          </a:r>
        </a:p>
      </dgm:t>
    </dgm:pt>
    <dgm:pt modelId="{1C682A14-6DDF-4975-BC66-C46FFBD83B26}" type="parTrans" cxnId="{869B3420-3BFE-433F-BB3D-0F7DE4E30894}">
      <dgm:prSet/>
      <dgm:spPr/>
      <dgm:t>
        <a:bodyPr/>
        <a:lstStyle/>
        <a:p>
          <a:endParaRPr lang="bg-BG"/>
        </a:p>
      </dgm:t>
    </dgm:pt>
    <dgm:pt modelId="{081D8E43-68FF-4421-A094-7A3F17E5663E}" type="sibTrans" cxnId="{869B3420-3BFE-433F-BB3D-0F7DE4E30894}">
      <dgm:prSet/>
      <dgm:spPr/>
      <dgm:t>
        <a:bodyPr/>
        <a:lstStyle/>
        <a:p>
          <a:endParaRPr lang="bg-BG"/>
        </a:p>
      </dgm:t>
    </dgm:pt>
    <dgm:pt modelId="{C54D1DE6-A425-43BC-B0AF-F4A5366B763E}">
      <dgm:prSet custT="1"/>
      <dgm:spPr>
        <a:xfrm>
          <a:off x="1784083" y="4619917"/>
          <a:ext cx="7226946" cy="617755"/>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Качествен анализ на риска;</a:t>
          </a:r>
        </a:p>
      </dgm:t>
    </dgm:pt>
    <dgm:pt modelId="{37FC7F5A-B9A9-48A2-83FE-609C28BE28FC}" type="parTrans" cxnId="{408E19C5-85AE-4E7E-8A4A-C2626687B014}">
      <dgm:prSet/>
      <dgm:spPr/>
      <dgm:t>
        <a:bodyPr/>
        <a:lstStyle/>
        <a:p>
          <a:endParaRPr lang="bg-BG"/>
        </a:p>
      </dgm:t>
    </dgm:pt>
    <dgm:pt modelId="{63DD8A0A-2FF2-4EDB-90A5-242B2ED7ED13}" type="sibTrans" cxnId="{408E19C5-85AE-4E7E-8A4A-C2626687B014}">
      <dgm:prSet/>
      <dgm:spPr/>
      <dgm:t>
        <a:bodyPr/>
        <a:lstStyle/>
        <a:p>
          <a:endParaRPr lang="bg-BG"/>
        </a:p>
      </dgm:t>
    </dgm:pt>
    <dgm:pt modelId="{4F2FEEBF-2956-45C8-8CBF-C3FE855865E5}">
      <dgm:prSet custT="1"/>
      <dgm:spPr>
        <a:xfrm>
          <a:off x="1784083" y="4619917"/>
          <a:ext cx="7226946" cy="617755"/>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endParaRPr lang="bg-BG" sz="900">
            <a:solidFill>
              <a:sysClr val="windowText" lastClr="000000">
                <a:hueOff val="0"/>
                <a:satOff val="0"/>
                <a:lumOff val="0"/>
                <a:alphaOff val="0"/>
              </a:sysClr>
            </a:solidFill>
            <a:latin typeface="Calibri"/>
            <a:ea typeface="+mn-ea"/>
            <a:cs typeface="+mn-cs"/>
          </a:endParaRPr>
        </a:p>
      </dgm:t>
    </dgm:pt>
    <dgm:pt modelId="{910FACC9-B4F1-455C-B18F-39A3C5A9E3EB}" type="parTrans" cxnId="{15BCA1C8-0612-4937-AB9B-39D1D13C254A}">
      <dgm:prSet/>
      <dgm:spPr/>
      <dgm:t>
        <a:bodyPr/>
        <a:lstStyle/>
        <a:p>
          <a:endParaRPr lang="bg-BG"/>
        </a:p>
      </dgm:t>
    </dgm:pt>
    <dgm:pt modelId="{6D8C312A-1971-4364-A835-03A3644D0161}" type="sibTrans" cxnId="{15BCA1C8-0612-4937-AB9B-39D1D13C254A}">
      <dgm:prSet/>
      <dgm:spPr/>
      <dgm:t>
        <a:bodyPr/>
        <a:lstStyle/>
        <a:p>
          <a:endParaRPr lang="bg-BG"/>
        </a:p>
      </dgm:t>
    </dgm:pt>
    <dgm:pt modelId="{B58B5E12-5CB9-466D-A365-8268B63CECD7}">
      <dgm:prSet phldrT="[Text]" custT="1"/>
      <dgm:spPr>
        <a:xfrm>
          <a:off x="1786800" y="797041"/>
          <a:ext cx="7219889" cy="793777"/>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Установяване на приносът на проекта за социалното благополучие и за постигане на специфичните цели на приоритета на ПТС.</a:t>
          </a:r>
        </a:p>
      </dgm:t>
    </dgm:pt>
    <dgm:pt modelId="{DA8B9713-8B31-4584-A66C-3CE638ECFF7E}" type="sibTrans" cxnId="{40484052-FA4D-4098-B593-30B2E8BFB610}">
      <dgm:prSet/>
      <dgm:spPr/>
      <dgm:t>
        <a:bodyPr/>
        <a:lstStyle/>
        <a:p>
          <a:endParaRPr lang="bg-BG"/>
        </a:p>
      </dgm:t>
    </dgm:pt>
    <dgm:pt modelId="{970A42CF-1718-468D-8DF1-D68E2AF749F1}" type="parTrans" cxnId="{40484052-FA4D-4098-B593-30B2E8BFB610}">
      <dgm:prSet/>
      <dgm:spPr/>
      <dgm:t>
        <a:bodyPr/>
        <a:lstStyle/>
        <a:p>
          <a:endParaRPr lang="bg-BG"/>
        </a:p>
      </dgm:t>
    </dgm:pt>
    <dgm:pt modelId="{14CFFE62-FF19-4EC1-947C-3E84423DDA62}">
      <dgm:prSet phldrT="[Text]" custT="1"/>
      <dgm:spPr>
        <a:xfrm>
          <a:off x="1786800" y="797041"/>
          <a:ext cx="7219889" cy="793777"/>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Определят се ясни цели на проекта, за установяване доколко инвестицията отговаря на съществуваща нужда и за да се направи оценка на резултатите и на въздействието на проекта;</a:t>
          </a:r>
        </a:p>
      </dgm:t>
    </dgm:pt>
    <dgm:pt modelId="{9EF45E73-A877-4F80-84F5-E1245A9A1F1E}" type="sibTrans" cxnId="{F0C37A16-167A-4221-847D-E90D09172E8C}">
      <dgm:prSet/>
      <dgm:spPr/>
      <dgm:t>
        <a:bodyPr/>
        <a:lstStyle/>
        <a:p>
          <a:endParaRPr lang="bg-BG"/>
        </a:p>
      </dgm:t>
    </dgm:pt>
    <dgm:pt modelId="{8BD6C9C0-A313-470B-B4E8-FDB2EA3137D5}" type="parTrans" cxnId="{F0C37A16-167A-4221-847D-E90D09172E8C}">
      <dgm:prSet/>
      <dgm:spPr/>
      <dgm:t>
        <a:bodyPr/>
        <a:lstStyle/>
        <a:p>
          <a:endParaRPr lang="bg-BG"/>
        </a:p>
      </dgm:t>
    </dgm:pt>
    <dgm:pt modelId="{18A683FD-71B4-4C37-AD4C-62B7D8A98628}" type="pres">
      <dgm:prSet presAssocID="{0837261F-E9DB-457D-B9D1-D2E5823F02FB}" presName="Name0" presStyleCnt="0">
        <dgm:presLayoutVars>
          <dgm:dir/>
          <dgm:animLvl val="lvl"/>
          <dgm:resizeHandles/>
        </dgm:presLayoutVars>
      </dgm:prSet>
      <dgm:spPr/>
      <dgm:t>
        <a:bodyPr/>
        <a:lstStyle/>
        <a:p>
          <a:endParaRPr lang="en-US"/>
        </a:p>
      </dgm:t>
    </dgm:pt>
    <dgm:pt modelId="{775AE69E-FD40-47E2-BC27-FA9148ADE14E}" type="pres">
      <dgm:prSet presAssocID="{EEDA81E9-7753-464B-B398-484283D91C72}" presName="linNode" presStyleCnt="0"/>
      <dgm:spPr/>
    </dgm:pt>
    <dgm:pt modelId="{33EFA91E-E0E2-4445-BD62-24139CB31077}" type="pres">
      <dgm:prSet presAssocID="{EEDA81E9-7753-464B-B398-484283D91C72}" presName="parentShp" presStyleLbl="node1" presStyleIdx="0" presStyleCnt="7" custScaleX="48594" custLinFactNeighborX="-16104" custLinFactNeighborY="-669">
        <dgm:presLayoutVars>
          <dgm:bulletEnabled val="1"/>
        </dgm:presLayoutVars>
      </dgm:prSet>
      <dgm:spPr>
        <a:prstGeom prst="roundRect">
          <a:avLst/>
        </a:prstGeom>
      </dgm:spPr>
      <dgm:t>
        <a:bodyPr/>
        <a:lstStyle/>
        <a:p>
          <a:endParaRPr lang="en-US"/>
        </a:p>
      </dgm:t>
    </dgm:pt>
    <dgm:pt modelId="{32E1FE1F-099C-4F63-813D-AC2388E8F64C}" type="pres">
      <dgm:prSet presAssocID="{EEDA81E9-7753-464B-B398-484283D91C72}" presName="childShp" presStyleLbl="bgAccFollowNode1" presStyleIdx="0" presStyleCnt="7" custScaleX="132007" custScaleY="147583" custLinFactNeighborX="-1532" custLinFactNeighborY="7162">
        <dgm:presLayoutVars>
          <dgm:bulletEnabled val="1"/>
        </dgm:presLayoutVars>
      </dgm:prSet>
      <dgm:spPr>
        <a:prstGeom prst="rightArrow">
          <a:avLst>
            <a:gd name="adj1" fmla="val 75000"/>
            <a:gd name="adj2" fmla="val 50000"/>
          </a:avLst>
        </a:prstGeom>
      </dgm:spPr>
      <dgm:t>
        <a:bodyPr/>
        <a:lstStyle/>
        <a:p>
          <a:endParaRPr lang="en-US"/>
        </a:p>
      </dgm:t>
    </dgm:pt>
    <dgm:pt modelId="{68445014-A9DE-4FD6-9621-732BA31CEB40}" type="pres">
      <dgm:prSet presAssocID="{8CD77B7A-5A58-472F-ACA8-3905DFFC444C}" presName="spacing" presStyleCnt="0"/>
      <dgm:spPr/>
    </dgm:pt>
    <dgm:pt modelId="{C1DB1010-75B3-4012-8903-4D1EC12413E2}" type="pres">
      <dgm:prSet presAssocID="{9E999F14-0FC8-4A93-AA08-D99FD1141070}" presName="linNode" presStyleCnt="0"/>
      <dgm:spPr/>
    </dgm:pt>
    <dgm:pt modelId="{2750DAE2-EA73-4FA0-B9CF-E2AB2664FCA6}" type="pres">
      <dgm:prSet presAssocID="{9E999F14-0FC8-4A93-AA08-D99FD1141070}" presName="parentShp" presStyleLbl="node1" presStyleIdx="1" presStyleCnt="7" custScaleX="48594" custLinFactNeighborX="-16104" custLinFactNeighborY="-669">
        <dgm:presLayoutVars>
          <dgm:bulletEnabled val="1"/>
        </dgm:presLayoutVars>
      </dgm:prSet>
      <dgm:spPr>
        <a:prstGeom prst="roundRect">
          <a:avLst/>
        </a:prstGeom>
      </dgm:spPr>
      <dgm:t>
        <a:bodyPr/>
        <a:lstStyle/>
        <a:p>
          <a:endParaRPr lang="en-US"/>
        </a:p>
      </dgm:t>
    </dgm:pt>
    <dgm:pt modelId="{BFB5608D-3362-4223-A0F6-4EA60563B6B6}" type="pres">
      <dgm:prSet presAssocID="{9E999F14-0FC8-4A93-AA08-D99FD1141070}" presName="childShp" presStyleLbl="bgAccFollowNode1" presStyleIdx="1" presStyleCnt="7" custScaleX="132007" custScaleY="164629" custLinFactNeighborX="-1532" custLinFactNeighborY="7084">
        <dgm:presLayoutVars>
          <dgm:bulletEnabled val="1"/>
        </dgm:presLayoutVars>
      </dgm:prSet>
      <dgm:spPr>
        <a:prstGeom prst="rightArrow">
          <a:avLst>
            <a:gd name="adj1" fmla="val 75000"/>
            <a:gd name="adj2" fmla="val 50000"/>
          </a:avLst>
        </a:prstGeom>
      </dgm:spPr>
      <dgm:t>
        <a:bodyPr/>
        <a:lstStyle/>
        <a:p>
          <a:endParaRPr lang="en-US"/>
        </a:p>
      </dgm:t>
    </dgm:pt>
    <dgm:pt modelId="{AEFE42DF-C4D6-4E49-A155-8C63A556AB88}" type="pres">
      <dgm:prSet presAssocID="{E6A76BBE-A95B-4FA0-9E19-669EC7F76C58}" presName="spacing" presStyleCnt="0"/>
      <dgm:spPr/>
    </dgm:pt>
    <dgm:pt modelId="{E998F63F-1824-4504-BC88-5CF1EAB3936C}" type="pres">
      <dgm:prSet presAssocID="{209C0FCE-A28A-4638-8F31-7098A0074E18}" presName="linNode" presStyleCnt="0"/>
      <dgm:spPr/>
    </dgm:pt>
    <dgm:pt modelId="{9068DA47-CE21-4CA2-91BA-CA69C5B53E40}" type="pres">
      <dgm:prSet presAssocID="{209C0FCE-A28A-4638-8F31-7098A0074E18}" presName="parentShp" presStyleLbl="node1" presStyleIdx="2" presStyleCnt="7" custScaleX="48594" custLinFactNeighborX="-16104" custLinFactNeighborY="-669">
        <dgm:presLayoutVars>
          <dgm:bulletEnabled val="1"/>
        </dgm:presLayoutVars>
      </dgm:prSet>
      <dgm:spPr>
        <a:prstGeom prst="roundRect">
          <a:avLst/>
        </a:prstGeom>
      </dgm:spPr>
      <dgm:t>
        <a:bodyPr/>
        <a:lstStyle/>
        <a:p>
          <a:endParaRPr lang="en-US"/>
        </a:p>
      </dgm:t>
    </dgm:pt>
    <dgm:pt modelId="{D56B33E6-E946-415E-9079-C67F3C8216CE}" type="pres">
      <dgm:prSet presAssocID="{209C0FCE-A28A-4638-8F31-7098A0074E18}" presName="childShp" presStyleLbl="bgAccFollowNode1" presStyleIdx="2" presStyleCnt="7" custScaleX="132007" custScaleY="145975" custLinFactNeighborX="-1532" custLinFactNeighborY="7084">
        <dgm:presLayoutVars>
          <dgm:bulletEnabled val="1"/>
        </dgm:presLayoutVars>
      </dgm:prSet>
      <dgm:spPr>
        <a:prstGeom prst="rightArrow">
          <a:avLst>
            <a:gd name="adj1" fmla="val 75000"/>
            <a:gd name="adj2" fmla="val 50000"/>
          </a:avLst>
        </a:prstGeom>
      </dgm:spPr>
      <dgm:t>
        <a:bodyPr/>
        <a:lstStyle/>
        <a:p>
          <a:endParaRPr lang="en-US"/>
        </a:p>
      </dgm:t>
    </dgm:pt>
    <dgm:pt modelId="{B593D17B-10CF-4C43-B3D5-E405C34E81BA}" type="pres">
      <dgm:prSet presAssocID="{2F8C169F-3B57-4F2D-86DE-ED892EEBC518}" presName="spacing" presStyleCnt="0"/>
      <dgm:spPr/>
    </dgm:pt>
    <dgm:pt modelId="{32AF2D7F-288D-4AEC-B01F-33074803D62A}" type="pres">
      <dgm:prSet presAssocID="{08EDB7F2-A044-477B-B49B-E43C85CFA70B}" presName="linNode" presStyleCnt="0"/>
      <dgm:spPr/>
    </dgm:pt>
    <dgm:pt modelId="{211DC56C-7425-416A-A2C7-BE8F47711553}" type="pres">
      <dgm:prSet presAssocID="{08EDB7F2-A044-477B-B49B-E43C85CFA70B}" presName="parentShp" presStyleLbl="node1" presStyleIdx="3" presStyleCnt="7" custScaleX="48594" custLinFactNeighborX="-16104" custLinFactNeighborY="-669">
        <dgm:presLayoutVars>
          <dgm:bulletEnabled val="1"/>
        </dgm:presLayoutVars>
      </dgm:prSet>
      <dgm:spPr>
        <a:prstGeom prst="roundRect">
          <a:avLst/>
        </a:prstGeom>
      </dgm:spPr>
      <dgm:t>
        <a:bodyPr/>
        <a:lstStyle/>
        <a:p>
          <a:endParaRPr lang="en-US"/>
        </a:p>
      </dgm:t>
    </dgm:pt>
    <dgm:pt modelId="{49E6B04D-B4B3-4DE5-9C10-E31FA9487255}" type="pres">
      <dgm:prSet presAssocID="{08EDB7F2-A044-477B-B49B-E43C85CFA70B}" presName="childShp" presStyleLbl="bgAccFollowNode1" presStyleIdx="3" presStyleCnt="7" custScaleX="132007" custScaleY="155334" custLinFactNeighborX="-1763" custLinFactNeighborY="5988">
        <dgm:presLayoutVars>
          <dgm:bulletEnabled val="1"/>
        </dgm:presLayoutVars>
      </dgm:prSet>
      <dgm:spPr>
        <a:prstGeom prst="rightArrow">
          <a:avLst>
            <a:gd name="adj1" fmla="val 75000"/>
            <a:gd name="adj2" fmla="val 50000"/>
          </a:avLst>
        </a:prstGeom>
      </dgm:spPr>
      <dgm:t>
        <a:bodyPr/>
        <a:lstStyle/>
        <a:p>
          <a:endParaRPr lang="en-US"/>
        </a:p>
      </dgm:t>
    </dgm:pt>
    <dgm:pt modelId="{30CE6C2B-BD61-4EA3-AF15-1931EFDDA6BB}" type="pres">
      <dgm:prSet presAssocID="{1B50A007-1577-4E5D-A517-194C1D860F75}" presName="spacing" presStyleCnt="0"/>
      <dgm:spPr/>
    </dgm:pt>
    <dgm:pt modelId="{0A560EC2-376D-4A4A-94E1-AB8EE2551167}" type="pres">
      <dgm:prSet presAssocID="{7A3DEFD0-56B1-485C-9005-268A9DF6276F}" presName="linNode" presStyleCnt="0"/>
      <dgm:spPr/>
    </dgm:pt>
    <dgm:pt modelId="{93153221-A75A-4FB4-A3C3-FEDDD0227304}" type="pres">
      <dgm:prSet presAssocID="{7A3DEFD0-56B1-485C-9005-268A9DF6276F}" presName="parentShp" presStyleLbl="node1" presStyleIdx="4" presStyleCnt="7" custScaleX="48594" custLinFactNeighborX="-16104" custLinFactNeighborY="-669">
        <dgm:presLayoutVars>
          <dgm:bulletEnabled val="1"/>
        </dgm:presLayoutVars>
      </dgm:prSet>
      <dgm:spPr>
        <a:prstGeom prst="roundRect">
          <a:avLst/>
        </a:prstGeom>
      </dgm:spPr>
      <dgm:t>
        <a:bodyPr/>
        <a:lstStyle/>
        <a:p>
          <a:endParaRPr lang="en-US"/>
        </a:p>
      </dgm:t>
    </dgm:pt>
    <dgm:pt modelId="{E5E549D9-7EDF-43BD-88A3-4AAA46405C62}" type="pres">
      <dgm:prSet presAssocID="{7A3DEFD0-56B1-485C-9005-268A9DF6276F}" presName="childShp" presStyleLbl="bgAccFollowNode1" presStyleIdx="4" presStyleCnt="7" custScaleX="132007" custScaleY="137189" custLinFactNeighborX="-2345" custLinFactNeighborY="7130">
        <dgm:presLayoutVars>
          <dgm:bulletEnabled val="1"/>
        </dgm:presLayoutVars>
      </dgm:prSet>
      <dgm:spPr>
        <a:prstGeom prst="rightArrow">
          <a:avLst>
            <a:gd name="adj1" fmla="val 75000"/>
            <a:gd name="adj2" fmla="val 50000"/>
          </a:avLst>
        </a:prstGeom>
      </dgm:spPr>
      <dgm:t>
        <a:bodyPr/>
        <a:lstStyle/>
        <a:p>
          <a:endParaRPr lang="en-US"/>
        </a:p>
      </dgm:t>
    </dgm:pt>
    <dgm:pt modelId="{5DBE3ACD-0051-449F-8607-210A36F80C1F}" type="pres">
      <dgm:prSet presAssocID="{9AC3BB9F-575B-4783-9168-BBB535724F00}" presName="spacing" presStyleCnt="0"/>
      <dgm:spPr/>
    </dgm:pt>
    <dgm:pt modelId="{D0F3414D-1543-4B60-B37C-E85386D7A79E}" type="pres">
      <dgm:prSet presAssocID="{3AB4EF6F-28DB-4179-8548-070ECF73796D}" presName="linNode" presStyleCnt="0"/>
      <dgm:spPr/>
    </dgm:pt>
    <dgm:pt modelId="{110E508D-0914-463A-8DBC-52D28A71D6EA}" type="pres">
      <dgm:prSet presAssocID="{3AB4EF6F-28DB-4179-8548-070ECF73796D}" presName="parentShp" presStyleLbl="node1" presStyleIdx="5" presStyleCnt="7" custScaleX="48594" custLinFactNeighborX="-15716" custLinFactNeighborY="0">
        <dgm:presLayoutVars>
          <dgm:bulletEnabled val="1"/>
        </dgm:presLayoutVars>
      </dgm:prSet>
      <dgm:spPr>
        <a:prstGeom prst="roundRect">
          <a:avLst/>
        </a:prstGeom>
      </dgm:spPr>
      <dgm:t>
        <a:bodyPr/>
        <a:lstStyle/>
        <a:p>
          <a:endParaRPr lang="en-US"/>
        </a:p>
      </dgm:t>
    </dgm:pt>
    <dgm:pt modelId="{D53AFAAB-FE5B-4F69-879B-F39E52E438CA}" type="pres">
      <dgm:prSet presAssocID="{3AB4EF6F-28DB-4179-8548-070ECF73796D}" presName="childShp" presStyleLbl="bgAccFollowNode1" presStyleIdx="5" presStyleCnt="7" custScaleX="132007" custScaleY="149252" custLinFactNeighborX="-1532" custLinFactNeighborY="4777">
        <dgm:presLayoutVars>
          <dgm:bulletEnabled val="1"/>
        </dgm:presLayoutVars>
      </dgm:prSet>
      <dgm:spPr>
        <a:prstGeom prst="rightArrow">
          <a:avLst>
            <a:gd name="adj1" fmla="val 75000"/>
            <a:gd name="adj2" fmla="val 50000"/>
          </a:avLst>
        </a:prstGeom>
      </dgm:spPr>
      <dgm:t>
        <a:bodyPr/>
        <a:lstStyle/>
        <a:p>
          <a:endParaRPr lang="en-US"/>
        </a:p>
      </dgm:t>
    </dgm:pt>
    <dgm:pt modelId="{A1E839F9-B465-49AD-B1FC-0498CA19C926}" type="pres">
      <dgm:prSet presAssocID="{895F93EB-063D-42D5-830A-E3E54A49DF92}" presName="spacing" presStyleCnt="0"/>
      <dgm:spPr/>
    </dgm:pt>
    <dgm:pt modelId="{57090507-9331-41F9-9202-10BC744BDC06}" type="pres">
      <dgm:prSet presAssocID="{17173E74-B174-40D9-83EA-10CA7392DB4E}" presName="linNode" presStyleCnt="0"/>
      <dgm:spPr/>
    </dgm:pt>
    <dgm:pt modelId="{7DBF3A85-7EFB-48B9-8092-AEF96310D7D6}" type="pres">
      <dgm:prSet presAssocID="{17173E74-B174-40D9-83EA-10CA7392DB4E}" presName="parentShp" presStyleLbl="node1" presStyleIdx="6" presStyleCnt="7" custScaleX="48594" custLinFactNeighborX="-15716" custLinFactNeighborY="0">
        <dgm:presLayoutVars>
          <dgm:bulletEnabled val="1"/>
        </dgm:presLayoutVars>
      </dgm:prSet>
      <dgm:spPr>
        <a:prstGeom prst="roundRect">
          <a:avLst/>
        </a:prstGeom>
      </dgm:spPr>
      <dgm:t>
        <a:bodyPr/>
        <a:lstStyle/>
        <a:p>
          <a:endParaRPr lang="en-US"/>
        </a:p>
      </dgm:t>
    </dgm:pt>
    <dgm:pt modelId="{06B3BE31-C2D4-483C-868F-2AA715D92221}" type="pres">
      <dgm:prSet presAssocID="{17173E74-B174-40D9-83EA-10CA7392DB4E}" presName="childShp" presStyleLbl="bgAccFollowNode1" presStyleIdx="6" presStyleCnt="7" custScaleX="132007" custScaleY="128122" custLinFactNeighborX="-1532" custLinFactNeighborY="-2433">
        <dgm:presLayoutVars>
          <dgm:bulletEnabled val="1"/>
        </dgm:presLayoutVars>
      </dgm:prSet>
      <dgm:spPr>
        <a:prstGeom prst="rightArrow">
          <a:avLst>
            <a:gd name="adj1" fmla="val 75000"/>
            <a:gd name="adj2" fmla="val 50000"/>
          </a:avLst>
        </a:prstGeom>
      </dgm:spPr>
      <dgm:t>
        <a:bodyPr/>
        <a:lstStyle/>
        <a:p>
          <a:endParaRPr lang="en-US"/>
        </a:p>
      </dgm:t>
    </dgm:pt>
  </dgm:ptLst>
  <dgm:cxnLst>
    <dgm:cxn modelId="{6AAF1074-B871-4185-BAA5-69BABB412C7B}" srcId="{08EDB7F2-A044-477B-B49B-E43C85CFA70B}" destId="{41BE08D0-0BAC-43FF-8736-DA1FAA952D41}" srcOrd="0" destOrd="0" parTransId="{058F252C-457D-4B5E-B29B-127225337893}" sibTransId="{106BD200-CF6C-4628-9AE1-7B0CDB48AD6E}"/>
    <dgm:cxn modelId="{0BD38766-F9AA-4358-BB1A-C63FDDB0BC3E}" type="presOf" srcId="{DB10B867-E170-43B7-9D0F-EB8E5123619A}" destId="{49E6B04D-B4B3-4DE5-9C10-E31FA9487255}" srcOrd="0" destOrd="2" presId="urn:microsoft.com/office/officeart/2005/8/layout/vList6"/>
    <dgm:cxn modelId="{3CC75231-F352-403A-BB68-83D686C08CB4}" type="presOf" srcId="{17173E74-B174-40D9-83EA-10CA7392DB4E}" destId="{7DBF3A85-7EFB-48B9-8092-AEF96310D7D6}" srcOrd="0" destOrd="0" presId="urn:microsoft.com/office/officeart/2005/8/layout/vList6"/>
    <dgm:cxn modelId="{15BCA1C8-0612-4937-AB9B-39D1D13C254A}" srcId="{17173E74-B174-40D9-83EA-10CA7392DB4E}" destId="{4F2FEEBF-2956-45C8-8CBF-C3FE855865E5}" srcOrd="2" destOrd="0" parTransId="{910FACC9-B4F1-455C-B18F-39A3C5A9E3EB}" sibTransId="{6D8C312A-1971-4364-A835-03A3644D0161}"/>
    <dgm:cxn modelId="{9C9EA66A-7CF5-4E1C-B301-B6A1BA6213FD}" srcId="{0837261F-E9DB-457D-B9D1-D2E5823F02FB}" destId="{3AB4EF6F-28DB-4179-8548-070ECF73796D}" srcOrd="5" destOrd="0" parTransId="{ADF9CC58-AD2C-4DF3-B1CD-46B958680BD6}" sibTransId="{895F93EB-063D-42D5-830A-E3E54A49DF92}"/>
    <dgm:cxn modelId="{67E085B3-31A5-4465-B4EB-B14E1BD54232}" type="presOf" srcId="{3A636FD3-982F-42DD-A432-990B94DA0D79}" destId="{D53AFAAB-FE5B-4F69-879B-F39E52E438CA}" srcOrd="0" destOrd="0" presId="urn:microsoft.com/office/officeart/2005/8/layout/vList6"/>
    <dgm:cxn modelId="{9A992777-3E83-4B59-A544-223F7DE3366E}" srcId="{0837261F-E9DB-457D-B9D1-D2E5823F02FB}" destId="{EEDA81E9-7753-464B-B398-484283D91C72}" srcOrd="0" destOrd="0" parTransId="{2A96EA5E-46BB-49DE-A16D-E77D3BE8FA73}" sibTransId="{8CD77B7A-5A58-472F-ACA8-3905DFFC444C}"/>
    <dgm:cxn modelId="{38B0B2B4-F76C-4740-9C7C-8E8E6DA8DD51}" type="presOf" srcId="{737D0303-D03F-486C-BFFA-DABDE8DC015E}" destId="{D56B33E6-E946-415E-9079-C67F3C8216CE}" srcOrd="0" destOrd="0" presId="urn:microsoft.com/office/officeart/2005/8/layout/vList6"/>
    <dgm:cxn modelId="{2F955496-8AAA-48F8-B8EC-4D1C3C8CABB0}" srcId="{7A3DEFD0-56B1-485C-9005-268A9DF6276F}" destId="{BB0D39AD-41B4-4D85-A0A5-41E459B76496}" srcOrd="1" destOrd="0" parTransId="{64D6EC7C-32DA-43C1-85E2-F5E2B13F389D}" sibTransId="{6273FD0B-8BBD-43E5-A756-73B4A87C0482}"/>
    <dgm:cxn modelId="{869B3420-3BFE-433F-BB3D-0F7DE4E30894}" srcId="{17173E74-B174-40D9-83EA-10CA7392DB4E}" destId="{003ED998-6B25-4DB1-8198-E4D89F6A8A70}" srcOrd="0" destOrd="0" parTransId="{1C682A14-6DDF-4975-BC66-C46FFBD83B26}" sibTransId="{081D8E43-68FF-4421-A094-7A3F17E5663E}"/>
    <dgm:cxn modelId="{3D3B60B8-FA43-41D9-8EF2-675C25DDA7B6}" srcId="{209C0FCE-A28A-4638-8F31-7098A0074E18}" destId="{A3592444-ED42-4432-9B01-35C7EC4E4B20}" srcOrd="2" destOrd="0" parTransId="{7B3FF44B-BC1C-4FBB-8802-82A0A3650C90}" sibTransId="{EA68F3D5-9829-4881-839F-7C0EBA259948}"/>
    <dgm:cxn modelId="{414A8308-930D-4411-927B-0472F8AB5D44}" srcId="{EEDA81E9-7753-464B-B398-484283D91C72}" destId="{024C670E-461F-4633-9648-16B08CD0F708}" srcOrd="0" destOrd="0" parTransId="{C26CABA1-C41F-400E-BDE8-3DEAF1CB16A2}" sibTransId="{F5F94BAA-7DC9-4F13-91DB-002DB4422673}"/>
    <dgm:cxn modelId="{40484052-FA4D-4098-B593-30B2E8BFB610}" srcId="{9E999F14-0FC8-4A93-AA08-D99FD1141070}" destId="{B58B5E12-5CB9-466D-A365-8268B63CECD7}" srcOrd="1" destOrd="0" parTransId="{970A42CF-1718-468D-8DF1-D68E2AF749F1}" sibTransId="{DA8B9713-8B31-4584-A66C-3CE638ECFF7E}"/>
    <dgm:cxn modelId="{2FF4F7FD-27C2-4F76-8D91-93A0C822ADE1}" srcId="{209C0FCE-A28A-4638-8F31-7098A0074E18}" destId="{737D0303-D03F-486C-BFFA-DABDE8DC015E}" srcOrd="0" destOrd="0" parTransId="{FCBA1AD1-3212-4F13-836E-6021D501DE89}" sibTransId="{EB823546-9311-472E-AB30-D75401922542}"/>
    <dgm:cxn modelId="{C5B80E8C-9A4B-453D-BC7B-EB12789738BB}" srcId="{209C0FCE-A28A-4638-8F31-7098A0074E18}" destId="{A8B25DCA-DC77-47E2-BF9D-425B91465C08}" srcOrd="1" destOrd="0" parTransId="{67716A5A-2E35-480E-B019-86C83B555DC2}" sibTransId="{CC9515A2-956B-40DE-882D-93020FC54C63}"/>
    <dgm:cxn modelId="{5C156D98-D69E-4AC4-A942-69CF9062ADBB}" type="presOf" srcId="{B45ED986-0A34-4C60-9597-6C45E4F5DA64}" destId="{E5E549D9-7EDF-43BD-88A3-4AAA46405C62}" srcOrd="0" destOrd="2" presId="urn:microsoft.com/office/officeart/2005/8/layout/vList6"/>
    <dgm:cxn modelId="{0A9D98EA-62DA-4150-8198-EC2E857089C8}" srcId="{0837261F-E9DB-457D-B9D1-D2E5823F02FB}" destId="{17173E74-B174-40D9-83EA-10CA7392DB4E}" srcOrd="6" destOrd="0" parTransId="{218ECB18-B715-43C0-A52D-94796B70E37A}" sibTransId="{2E767C3B-1BB8-4F38-86F6-FCC4824CEFBA}"/>
    <dgm:cxn modelId="{ED759C4E-6F8E-426F-B4E4-0360BBAB9A66}" type="presOf" srcId="{41BE08D0-0BAC-43FF-8736-DA1FAA952D41}" destId="{49E6B04D-B4B3-4DE5-9C10-E31FA9487255}" srcOrd="0" destOrd="0" presId="urn:microsoft.com/office/officeart/2005/8/layout/vList6"/>
    <dgm:cxn modelId="{41D8CFFB-B0CE-4BB0-8EC5-681171F0A1E7}" type="presOf" srcId="{08EDB7F2-A044-477B-B49B-E43C85CFA70B}" destId="{211DC56C-7425-416A-A2C7-BE8F47711553}" srcOrd="0" destOrd="0" presId="urn:microsoft.com/office/officeart/2005/8/layout/vList6"/>
    <dgm:cxn modelId="{39ACA74E-A532-4ABE-B8F8-61B1D355012B}" type="presOf" srcId="{BDA8C97A-6AD7-424C-A6BA-48A35FAAD941}" destId="{D53AFAAB-FE5B-4F69-879B-F39E52E438CA}" srcOrd="0" destOrd="1" presId="urn:microsoft.com/office/officeart/2005/8/layout/vList6"/>
    <dgm:cxn modelId="{DE50B3CB-37F9-435F-B784-DE4ED291DBAD}" srcId="{0837261F-E9DB-457D-B9D1-D2E5823F02FB}" destId="{209C0FCE-A28A-4638-8F31-7098A0074E18}" srcOrd="2" destOrd="0" parTransId="{DA1F1826-BFC3-483B-B4C9-3EBD78DABAEC}" sibTransId="{2F8C169F-3B57-4F2D-86DE-ED892EEBC518}"/>
    <dgm:cxn modelId="{51012FE0-595E-4316-A21C-551B02C449CE}" type="presOf" srcId="{D317415F-C09A-458D-88BC-09F3A9C27539}" destId="{49E6B04D-B4B3-4DE5-9C10-E31FA9487255}" srcOrd="0" destOrd="1" presId="urn:microsoft.com/office/officeart/2005/8/layout/vList6"/>
    <dgm:cxn modelId="{9379413D-3705-46CD-A92A-E4BB1A847239}" type="presOf" srcId="{024C670E-461F-4633-9648-16B08CD0F708}" destId="{32E1FE1F-099C-4F63-813D-AC2388E8F64C}" srcOrd="0" destOrd="0" presId="urn:microsoft.com/office/officeart/2005/8/layout/vList6"/>
    <dgm:cxn modelId="{082667E9-6479-4B5B-A839-AC412AE6D29F}" srcId="{0837261F-E9DB-457D-B9D1-D2E5823F02FB}" destId="{9E999F14-0FC8-4A93-AA08-D99FD1141070}" srcOrd="1" destOrd="0" parTransId="{AC509649-6451-49EF-BF0B-5828DB8ADF3F}" sibTransId="{E6A76BBE-A95B-4FA0-9E19-669EC7F76C58}"/>
    <dgm:cxn modelId="{5467C1D7-2D8A-491A-9F00-1B652941D88B}" type="presOf" srcId="{4F2FEEBF-2956-45C8-8CBF-C3FE855865E5}" destId="{06B3BE31-C2D4-483C-868F-2AA715D92221}" srcOrd="0" destOrd="2" presId="urn:microsoft.com/office/officeart/2005/8/layout/vList6"/>
    <dgm:cxn modelId="{36F49A11-505F-4C3C-8632-0D3EB72DDFB1}" type="presOf" srcId="{003ED998-6B25-4DB1-8198-E4D89F6A8A70}" destId="{06B3BE31-C2D4-483C-868F-2AA715D92221}" srcOrd="0" destOrd="0" presId="urn:microsoft.com/office/officeart/2005/8/layout/vList6"/>
    <dgm:cxn modelId="{28778139-674D-421C-B01E-8EAED9F0406A}" type="presOf" srcId="{9E999F14-0FC8-4A93-AA08-D99FD1141070}" destId="{2750DAE2-EA73-4FA0-B9CF-E2AB2664FCA6}" srcOrd="0" destOrd="0" presId="urn:microsoft.com/office/officeart/2005/8/layout/vList6"/>
    <dgm:cxn modelId="{9335CC7F-B8DA-4F9F-8444-085C583D157A}" type="presOf" srcId="{7A3DEFD0-56B1-485C-9005-268A9DF6276F}" destId="{93153221-A75A-4FB4-A3C3-FEDDD0227304}" srcOrd="0" destOrd="0" presId="urn:microsoft.com/office/officeart/2005/8/layout/vList6"/>
    <dgm:cxn modelId="{383BD2FF-4D3F-4163-B5E7-B51973332BEC}" type="presOf" srcId="{B58B5E12-5CB9-466D-A365-8268B63CECD7}" destId="{BFB5608D-3362-4223-A0F6-4EA60563B6B6}" srcOrd="0" destOrd="1" presId="urn:microsoft.com/office/officeart/2005/8/layout/vList6"/>
    <dgm:cxn modelId="{76A4BCA3-8F2F-4EDD-AAD1-378D33FFE340}" type="presOf" srcId="{E316B52F-1CFC-40A4-BEF8-EF191DD7EA0C}" destId="{32E1FE1F-099C-4F63-813D-AC2388E8F64C}" srcOrd="0" destOrd="1" presId="urn:microsoft.com/office/officeart/2005/8/layout/vList6"/>
    <dgm:cxn modelId="{49A07F62-02AA-497B-9421-327085CAAACB}" type="presOf" srcId="{3AB4EF6F-28DB-4179-8548-070ECF73796D}" destId="{110E508D-0914-463A-8DBC-52D28A71D6EA}" srcOrd="0" destOrd="0" presId="urn:microsoft.com/office/officeart/2005/8/layout/vList6"/>
    <dgm:cxn modelId="{F0C37A16-167A-4221-847D-E90D09172E8C}" srcId="{9E999F14-0FC8-4A93-AA08-D99FD1141070}" destId="{14CFFE62-FF19-4EC1-947C-3E84423DDA62}" srcOrd="0" destOrd="0" parTransId="{8BD6C9C0-A313-470B-B4E8-FDB2EA3137D5}" sibTransId="{9EF45E73-A877-4F80-84F5-E1245A9A1F1E}"/>
    <dgm:cxn modelId="{B49AB6F4-2B54-4C5C-93C0-B834A9D6E725}" type="presOf" srcId="{9B1C9DA6-ABD4-454C-9B81-0B2C4B64A088}" destId="{D53AFAAB-FE5B-4F69-879B-F39E52E438CA}" srcOrd="0" destOrd="2" presId="urn:microsoft.com/office/officeart/2005/8/layout/vList6"/>
    <dgm:cxn modelId="{67E79B7B-7204-442C-A6D0-858BBE389820}" type="presOf" srcId="{A8B25DCA-DC77-47E2-BF9D-425B91465C08}" destId="{D56B33E6-E946-415E-9079-C67F3C8216CE}" srcOrd="0" destOrd="1" presId="urn:microsoft.com/office/officeart/2005/8/layout/vList6"/>
    <dgm:cxn modelId="{95D99C4C-1D99-4658-84E1-559EAC0E1E69}" type="presOf" srcId="{EEDA81E9-7753-464B-B398-484283D91C72}" destId="{33EFA91E-E0E2-4445-BD62-24139CB31077}" srcOrd="0" destOrd="0" presId="urn:microsoft.com/office/officeart/2005/8/layout/vList6"/>
    <dgm:cxn modelId="{D0C8A00F-EA47-4266-9B7F-6B5726764914}" srcId="{08EDB7F2-A044-477B-B49B-E43C85CFA70B}" destId="{DB10B867-E170-43B7-9D0F-EB8E5123619A}" srcOrd="2" destOrd="0" parTransId="{49E2CD38-5302-4535-8DF3-D4A64826D725}" sibTransId="{EA5782C6-1767-4AA8-AB41-D0F99156A5D7}"/>
    <dgm:cxn modelId="{5A275B6B-DA37-4170-B0A6-608AC2ABBD68}" type="presOf" srcId="{14CFFE62-FF19-4EC1-947C-3E84423DDA62}" destId="{BFB5608D-3362-4223-A0F6-4EA60563B6B6}" srcOrd="0" destOrd="0" presId="urn:microsoft.com/office/officeart/2005/8/layout/vList6"/>
    <dgm:cxn modelId="{E6DB881F-860F-400E-B832-CF9C8DC8B334}" type="presOf" srcId="{84880478-792C-4886-9A26-91EF0B6DA13F}" destId="{D53AFAAB-FE5B-4F69-879B-F39E52E438CA}" srcOrd="0" destOrd="3" presId="urn:microsoft.com/office/officeart/2005/8/layout/vList6"/>
    <dgm:cxn modelId="{FF72BA98-F020-4A44-BF5C-72DC0E05475E}" type="presOf" srcId="{C54D1DE6-A425-43BC-B0AF-F4A5366B763E}" destId="{06B3BE31-C2D4-483C-868F-2AA715D92221}" srcOrd="0" destOrd="1" presId="urn:microsoft.com/office/officeart/2005/8/layout/vList6"/>
    <dgm:cxn modelId="{AE3BDDBB-363D-4128-B76B-8AA210D6BCF1}" srcId="{3AB4EF6F-28DB-4179-8548-070ECF73796D}" destId="{BDA8C97A-6AD7-424C-A6BA-48A35FAAD941}" srcOrd="1" destOrd="0" parTransId="{099D0179-2C7D-474F-B390-17F85E00B57B}" sibTransId="{7F644A92-1FE7-4218-A024-1CD1C6C37374}"/>
    <dgm:cxn modelId="{1BF70FB5-28CE-4EC3-8837-7EF708E87F96}" srcId="{7A3DEFD0-56B1-485C-9005-268A9DF6276F}" destId="{B45ED986-0A34-4C60-9597-6C45E4F5DA64}" srcOrd="2" destOrd="0" parTransId="{3CF467AA-6A94-44A4-9A56-3776D7D6EBAE}" sibTransId="{4ED62016-26EA-406B-8213-030D200046FC}"/>
    <dgm:cxn modelId="{38045A9B-105C-4F4E-B175-BA600C505858}" type="presOf" srcId="{209C0FCE-A28A-4638-8F31-7098A0074E18}" destId="{9068DA47-CE21-4CA2-91BA-CA69C5B53E40}" srcOrd="0" destOrd="0" presId="urn:microsoft.com/office/officeart/2005/8/layout/vList6"/>
    <dgm:cxn modelId="{FDCD94D5-BA37-4C42-9EDC-381EB043D258}" srcId="{3AB4EF6F-28DB-4179-8548-070ECF73796D}" destId="{9B1C9DA6-ABD4-454C-9B81-0B2C4B64A088}" srcOrd="2" destOrd="0" parTransId="{3EA829BE-4BCD-469A-A015-5580207C66D5}" sibTransId="{3351B9EE-D1BB-430B-99AC-AF624F344F1C}"/>
    <dgm:cxn modelId="{31E35E2B-ED2E-462A-8380-4CA50E7DAA36}" srcId="{3AB4EF6F-28DB-4179-8548-070ECF73796D}" destId="{3A636FD3-982F-42DD-A432-990B94DA0D79}" srcOrd="0" destOrd="0" parTransId="{B28B6AD7-00ED-4D00-A3C4-4913C0AB88EF}" sibTransId="{2340945A-3C30-45AB-9D1C-27E632A4AC72}"/>
    <dgm:cxn modelId="{A0EC6182-7314-4FD5-B099-08E584B27D17}" srcId="{3AB4EF6F-28DB-4179-8548-070ECF73796D}" destId="{84880478-792C-4886-9A26-91EF0B6DA13F}" srcOrd="3" destOrd="0" parTransId="{A1D33792-2284-499E-89CD-0FF1E6D0BB2D}" sibTransId="{68948B66-5534-4BB6-ACB1-C0D341DD4560}"/>
    <dgm:cxn modelId="{54D707D7-AD5C-4553-B9FE-42751C03370E}" srcId="{0837261F-E9DB-457D-B9D1-D2E5823F02FB}" destId="{08EDB7F2-A044-477B-B49B-E43C85CFA70B}" srcOrd="3" destOrd="0" parTransId="{A5B9A3BA-C1CB-495F-8054-01994B5E0D30}" sibTransId="{1B50A007-1577-4E5D-A517-194C1D860F75}"/>
    <dgm:cxn modelId="{C213B33A-DFEB-433F-B51B-C8738F661772}" srcId="{08EDB7F2-A044-477B-B49B-E43C85CFA70B}" destId="{D317415F-C09A-458D-88BC-09F3A9C27539}" srcOrd="1" destOrd="0" parTransId="{FE5D8E76-73D5-4632-A6D5-FD2A76121357}" sibTransId="{2814473F-A27C-4D8D-BA59-30392B3DFAD5}"/>
    <dgm:cxn modelId="{ABF41836-25CC-4BBF-B963-6017689630E4}" type="presOf" srcId="{BB0D39AD-41B4-4D85-A0A5-41E459B76496}" destId="{E5E549D9-7EDF-43BD-88A3-4AAA46405C62}" srcOrd="0" destOrd="1" presId="urn:microsoft.com/office/officeart/2005/8/layout/vList6"/>
    <dgm:cxn modelId="{92ECE948-416A-4318-AE64-C8490B445DB9}" srcId="{0837261F-E9DB-457D-B9D1-D2E5823F02FB}" destId="{7A3DEFD0-56B1-485C-9005-268A9DF6276F}" srcOrd="4" destOrd="0" parTransId="{CD934D39-27A7-4510-A987-55530173C7A4}" sibTransId="{9AC3BB9F-575B-4783-9168-BBB535724F00}"/>
    <dgm:cxn modelId="{744ECBAA-ADDE-4F1C-B550-49D2A7A4D9F9}" type="presOf" srcId="{B1D1E2CF-B046-4193-A35A-E65974E55BFA}" destId="{32E1FE1F-099C-4F63-813D-AC2388E8F64C}" srcOrd="0" destOrd="2" presId="urn:microsoft.com/office/officeart/2005/8/layout/vList6"/>
    <dgm:cxn modelId="{8810E737-20ED-4B9F-B059-57A21E784791}" srcId="{EEDA81E9-7753-464B-B398-484283D91C72}" destId="{E316B52F-1CFC-40A4-BEF8-EF191DD7EA0C}" srcOrd="1" destOrd="0" parTransId="{8AC61CEF-7B09-4A10-B198-5CEE187DB234}" sibTransId="{2BDEF617-8BB3-4F7A-A490-DABD16417C3B}"/>
    <dgm:cxn modelId="{3960483A-87AC-416E-8FEE-81D8EB64F673}" type="presOf" srcId="{A3592444-ED42-4432-9B01-35C7EC4E4B20}" destId="{D56B33E6-E946-415E-9079-C67F3C8216CE}" srcOrd="0" destOrd="2" presId="urn:microsoft.com/office/officeart/2005/8/layout/vList6"/>
    <dgm:cxn modelId="{041BD679-37D2-4686-AB96-4CCD341DF4D9}" type="presOf" srcId="{0837261F-E9DB-457D-B9D1-D2E5823F02FB}" destId="{18A683FD-71B4-4C37-AD4C-62B7D8A98628}" srcOrd="0" destOrd="0" presId="urn:microsoft.com/office/officeart/2005/8/layout/vList6"/>
    <dgm:cxn modelId="{BC849350-A561-4EF2-A903-0B0ED564C943}" srcId="{7A3DEFD0-56B1-485C-9005-268A9DF6276F}" destId="{EBE5B30C-FF18-4B96-A478-ADD8528AEE5F}" srcOrd="0" destOrd="0" parTransId="{201F9B1F-3D02-4D50-B20F-246C836E4D44}" sibTransId="{E51757FC-AD1F-40E3-B0EA-EBF2E48AC3A4}"/>
    <dgm:cxn modelId="{E9412784-41C6-44C9-8EA4-48C2D6EB3DBB}" type="presOf" srcId="{EBE5B30C-FF18-4B96-A478-ADD8528AEE5F}" destId="{E5E549D9-7EDF-43BD-88A3-4AAA46405C62}" srcOrd="0" destOrd="0" presId="urn:microsoft.com/office/officeart/2005/8/layout/vList6"/>
    <dgm:cxn modelId="{408E19C5-85AE-4E7E-8A4A-C2626687B014}" srcId="{17173E74-B174-40D9-83EA-10CA7392DB4E}" destId="{C54D1DE6-A425-43BC-B0AF-F4A5366B763E}" srcOrd="1" destOrd="0" parTransId="{37FC7F5A-B9A9-48A2-83FE-609C28BE28FC}" sibTransId="{63DD8A0A-2FF2-4EDB-90A5-242B2ED7ED13}"/>
    <dgm:cxn modelId="{9E3365A9-A1FD-4D68-A135-42B04878A471}" srcId="{EEDA81E9-7753-464B-B398-484283D91C72}" destId="{B1D1E2CF-B046-4193-A35A-E65974E55BFA}" srcOrd="2" destOrd="0" parTransId="{3927466F-ED30-4082-A9F6-E8DFE7B455EA}" sibTransId="{F4A37C0F-5240-4C94-9120-B5241184125E}"/>
    <dgm:cxn modelId="{4A9C4754-AA45-4446-B460-1043399495E8}" type="presParOf" srcId="{18A683FD-71B4-4C37-AD4C-62B7D8A98628}" destId="{775AE69E-FD40-47E2-BC27-FA9148ADE14E}" srcOrd="0" destOrd="0" presId="urn:microsoft.com/office/officeart/2005/8/layout/vList6"/>
    <dgm:cxn modelId="{789C6736-668C-48EB-83C3-0EBBA069989D}" type="presParOf" srcId="{775AE69E-FD40-47E2-BC27-FA9148ADE14E}" destId="{33EFA91E-E0E2-4445-BD62-24139CB31077}" srcOrd="0" destOrd="0" presId="urn:microsoft.com/office/officeart/2005/8/layout/vList6"/>
    <dgm:cxn modelId="{C57ED0A9-FE6B-4431-BA6C-52AD405F2587}" type="presParOf" srcId="{775AE69E-FD40-47E2-BC27-FA9148ADE14E}" destId="{32E1FE1F-099C-4F63-813D-AC2388E8F64C}" srcOrd="1" destOrd="0" presId="urn:microsoft.com/office/officeart/2005/8/layout/vList6"/>
    <dgm:cxn modelId="{FADA48E5-FD29-4C32-9CAE-ECFC052FB9AE}" type="presParOf" srcId="{18A683FD-71B4-4C37-AD4C-62B7D8A98628}" destId="{68445014-A9DE-4FD6-9621-732BA31CEB40}" srcOrd="1" destOrd="0" presId="urn:microsoft.com/office/officeart/2005/8/layout/vList6"/>
    <dgm:cxn modelId="{99EE0D11-872A-4A57-9B54-1DF04A5456FB}" type="presParOf" srcId="{18A683FD-71B4-4C37-AD4C-62B7D8A98628}" destId="{C1DB1010-75B3-4012-8903-4D1EC12413E2}" srcOrd="2" destOrd="0" presId="urn:microsoft.com/office/officeart/2005/8/layout/vList6"/>
    <dgm:cxn modelId="{AB214F68-5E5D-4A61-9391-858C8ED2EA86}" type="presParOf" srcId="{C1DB1010-75B3-4012-8903-4D1EC12413E2}" destId="{2750DAE2-EA73-4FA0-B9CF-E2AB2664FCA6}" srcOrd="0" destOrd="0" presId="urn:microsoft.com/office/officeart/2005/8/layout/vList6"/>
    <dgm:cxn modelId="{48085EA6-D0F5-49CB-A1F5-B03B039A5F88}" type="presParOf" srcId="{C1DB1010-75B3-4012-8903-4D1EC12413E2}" destId="{BFB5608D-3362-4223-A0F6-4EA60563B6B6}" srcOrd="1" destOrd="0" presId="urn:microsoft.com/office/officeart/2005/8/layout/vList6"/>
    <dgm:cxn modelId="{8E6C009F-B42A-40DA-9529-B1335C371D75}" type="presParOf" srcId="{18A683FD-71B4-4C37-AD4C-62B7D8A98628}" destId="{AEFE42DF-C4D6-4E49-A155-8C63A556AB88}" srcOrd="3" destOrd="0" presId="urn:microsoft.com/office/officeart/2005/8/layout/vList6"/>
    <dgm:cxn modelId="{F25345BC-3FBA-4820-8C73-21F796CF7D4B}" type="presParOf" srcId="{18A683FD-71B4-4C37-AD4C-62B7D8A98628}" destId="{E998F63F-1824-4504-BC88-5CF1EAB3936C}" srcOrd="4" destOrd="0" presId="urn:microsoft.com/office/officeart/2005/8/layout/vList6"/>
    <dgm:cxn modelId="{A5A1CB4A-FA43-472B-99CB-D7F3FFFB50D0}" type="presParOf" srcId="{E998F63F-1824-4504-BC88-5CF1EAB3936C}" destId="{9068DA47-CE21-4CA2-91BA-CA69C5B53E40}" srcOrd="0" destOrd="0" presId="urn:microsoft.com/office/officeart/2005/8/layout/vList6"/>
    <dgm:cxn modelId="{1792ED6A-4AF7-489A-A4E1-777D51E2BC94}" type="presParOf" srcId="{E998F63F-1824-4504-BC88-5CF1EAB3936C}" destId="{D56B33E6-E946-415E-9079-C67F3C8216CE}" srcOrd="1" destOrd="0" presId="urn:microsoft.com/office/officeart/2005/8/layout/vList6"/>
    <dgm:cxn modelId="{ADC81113-EE01-42C2-B4FE-06DC571BA992}" type="presParOf" srcId="{18A683FD-71B4-4C37-AD4C-62B7D8A98628}" destId="{B593D17B-10CF-4C43-B3D5-E405C34E81BA}" srcOrd="5" destOrd="0" presId="urn:microsoft.com/office/officeart/2005/8/layout/vList6"/>
    <dgm:cxn modelId="{C330D33D-3741-4BA9-A35A-1777A981A023}" type="presParOf" srcId="{18A683FD-71B4-4C37-AD4C-62B7D8A98628}" destId="{32AF2D7F-288D-4AEC-B01F-33074803D62A}" srcOrd="6" destOrd="0" presId="urn:microsoft.com/office/officeart/2005/8/layout/vList6"/>
    <dgm:cxn modelId="{9F64F441-D708-4F93-8CC8-3D67B00829F8}" type="presParOf" srcId="{32AF2D7F-288D-4AEC-B01F-33074803D62A}" destId="{211DC56C-7425-416A-A2C7-BE8F47711553}" srcOrd="0" destOrd="0" presId="urn:microsoft.com/office/officeart/2005/8/layout/vList6"/>
    <dgm:cxn modelId="{69FE3F58-BFD9-49E7-A2CC-FCA356856F65}" type="presParOf" srcId="{32AF2D7F-288D-4AEC-B01F-33074803D62A}" destId="{49E6B04D-B4B3-4DE5-9C10-E31FA9487255}" srcOrd="1" destOrd="0" presId="urn:microsoft.com/office/officeart/2005/8/layout/vList6"/>
    <dgm:cxn modelId="{BFC89644-BF9B-4A94-8A22-3BA0DB0EE7FE}" type="presParOf" srcId="{18A683FD-71B4-4C37-AD4C-62B7D8A98628}" destId="{30CE6C2B-BD61-4EA3-AF15-1931EFDDA6BB}" srcOrd="7" destOrd="0" presId="urn:microsoft.com/office/officeart/2005/8/layout/vList6"/>
    <dgm:cxn modelId="{9FAB215A-9390-4C66-9E95-0D847E315CD3}" type="presParOf" srcId="{18A683FD-71B4-4C37-AD4C-62B7D8A98628}" destId="{0A560EC2-376D-4A4A-94E1-AB8EE2551167}" srcOrd="8" destOrd="0" presId="urn:microsoft.com/office/officeart/2005/8/layout/vList6"/>
    <dgm:cxn modelId="{4C65FFF4-00B2-41A9-A224-24219585469D}" type="presParOf" srcId="{0A560EC2-376D-4A4A-94E1-AB8EE2551167}" destId="{93153221-A75A-4FB4-A3C3-FEDDD0227304}" srcOrd="0" destOrd="0" presId="urn:microsoft.com/office/officeart/2005/8/layout/vList6"/>
    <dgm:cxn modelId="{2E57998B-13B5-4DC4-A48E-E810959D34D5}" type="presParOf" srcId="{0A560EC2-376D-4A4A-94E1-AB8EE2551167}" destId="{E5E549D9-7EDF-43BD-88A3-4AAA46405C62}" srcOrd="1" destOrd="0" presId="urn:microsoft.com/office/officeart/2005/8/layout/vList6"/>
    <dgm:cxn modelId="{10B24C14-C046-4C0F-B41A-064D221C39A9}" type="presParOf" srcId="{18A683FD-71B4-4C37-AD4C-62B7D8A98628}" destId="{5DBE3ACD-0051-449F-8607-210A36F80C1F}" srcOrd="9" destOrd="0" presId="urn:microsoft.com/office/officeart/2005/8/layout/vList6"/>
    <dgm:cxn modelId="{593729BB-32B6-4B09-9703-FA714C5F0157}" type="presParOf" srcId="{18A683FD-71B4-4C37-AD4C-62B7D8A98628}" destId="{D0F3414D-1543-4B60-B37C-E85386D7A79E}" srcOrd="10" destOrd="0" presId="urn:microsoft.com/office/officeart/2005/8/layout/vList6"/>
    <dgm:cxn modelId="{36F0ADDA-53A7-4BC2-977E-5618258918F0}" type="presParOf" srcId="{D0F3414D-1543-4B60-B37C-E85386D7A79E}" destId="{110E508D-0914-463A-8DBC-52D28A71D6EA}" srcOrd="0" destOrd="0" presId="urn:microsoft.com/office/officeart/2005/8/layout/vList6"/>
    <dgm:cxn modelId="{CCD96F1E-6E71-4011-98A7-5BD3484A57FD}" type="presParOf" srcId="{D0F3414D-1543-4B60-B37C-E85386D7A79E}" destId="{D53AFAAB-FE5B-4F69-879B-F39E52E438CA}" srcOrd="1" destOrd="0" presId="urn:microsoft.com/office/officeart/2005/8/layout/vList6"/>
    <dgm:cxn modelId="{17707326-8CCA-45FC-B230-7124809FA3D2}" type="presParOf" srcId="{18A683FD-71B4-4C37-AD4C-62B7D8A98628}" destId="{A1E839F9-B465-49AD-B1FC-0498CA19C926}" srcOrd="11" destOrd="0" presId="urn:microsoft.com/office/officeart/2005/8/layout/vList6"/>
    <dgm:cxn modelId="{3FBDEBBA-0029-44BD-A6EE-F85D1C74C1A6}" type="presParOf" srcId="{18A683FD-71B4-4C37-AD4C-62B7D8A98628}" destId="{57090507-9331-41F9-9202-10BC744BDC06}" srcOrd="12" destOrd="0" presId="urn:microsoft.com/office/officeart/2005/8/layout/vList6"/>
    <dgm:cxn modelId="{44C359C1-5E80-45C9-B41B-FC275597C640}" type="presParOf" srcId="{57090507-9331-41F9-9202-10BC744BDC06}" destId="{7DBF3A85-7EFB-48B9-8092-AEF96310D7D6}" srcOrd="0" destOrd="0" presId="urn:microsoft.com/office/officeart/2005/8/layout/vList6"/>
    <dgm:cxn modelId="{103A5101-B841-43A0-8592-E6CFE5E4831E}" type="presParOf" srcId="{57090507-9331-41F9-9202-10BC744BDC06}" destId="{06B3BE31-C2D4-483C-868F-2AA715D92221}" srcOrd="1" destOrd="0" presId="urn:microsoft.com/office/officeart/2005/8/layout/vList6"/>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71DBCC4-65F0-42B8-9892-4DF994710F7F}">
      <dsp:nvSpPr>
        <dsp:cNvPr id="0" name=""/>
        <dsp:cNvSpPr/>
      </dsp:nvSpPr>
      <dsp:spPr>
        <a:xfrm>
          <a:off x="890300" y="-172166"/>
          <a:ext cx="3399988" cy="3399988"/>
        </a:xfrm>
        <a:prstGeom prst="circularArrow">
          <a:avLst>
            <a:gd name="adj1" fmla="val 5544"/>
            <a:gd name="adj2" fmla="val 330680"/>
            <a:gd name="adj3" fmla="val 14545852"/>
            <a:gd name="adj4" fmla="val 16933049"/>
            <a:gd name="adj5" fmla="val 5757"/>
          </a:avLst>
        </a:prstGeom>
        <a:solidFill>
          <a:srgbClr val="4F81BD">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3A5000D3-E199-4CBC-B7EA-BC5EFD522F99}">
      <dsp:nvSpPr>
        <dsp:cNvPr id="0" name=""/>
        <dsp:cNvSpPr/>
      </dsp:nvSpPr>
      <dsp:spPr>
        <a:xfrm>
          <a:off x="1837312" y="-37608"/>
          <a:ext cx="1505964" cy="518033"/>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bg-BG" sz="1000" kern="1200" baseline="0" dirty="0">
              <a:solidFill>
                <a:sysClr val="window" lastClr="FFFFFF"/>
              </a:solidFill>
              <a:latin typeface="Calibri"/>
              <a:ea typeface="+mn-ea"/>
              <a:cs typeface="+mn-cs"/>
            </a:rPr>
            <a:t>Необходимост от изменение на ПТС </a:t>
          </a:r>
        </a:p>
      </dsp:txBody>
      <dsp:txXfrm>
        <a:off x="1862600" y="-12320"/>
        <a:ext cx="1455388" cy="467457"/>
      </dsp:txXfrm>
    </dsp:sp>
    <dsp:sp modelId="{7BA93B45-0C75-4E15-A0B7-1C8F8F85648D}">
      <dsp:nvSpPr>
        <dsp:cNvPr id="0" name=""/>
        <dsp:cNvSpPr/>
      </dsp:nvSpPr>
      <dsp:spPr>
        <a:xfrm>
          <a:off x="2962796" y="531436"/>
          <a:ext cx="1675879" cy="657964"/>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marR="0" lvl="0" indent="0" algn="ctr" defTabSz="914400" eaLnBrk="1" fontAlgn="auto" latinLnBrk="0" hangingPunct="1">
            <a:lnSpc>
              <a:spcPct val="100000"/>
            </a:lnSpc>
            <a:spcBef>
              <a:spcPct val="0"/>
            </a:spcBef>
            <a:spcAft>
              <a:spcPts val="0"/>
            </a:spcAft>
            <a:buClrTx/>
            <a:buSzTx/>
            <a:buFontTx/>
            <a:buNone/>
            <a:tabLst/>
            <a:defRPr/>
          </a:pPr>
          <a:r>
            <a:rPr lang="bg-BG" sz="1000" kern="1200" baseline="0" dirty="0">
              <a:solidFill>
                <a:sysClr val="window" lastClr="FFFFFF"/>
              </a:solidFill>
              <a:latin typeface="Calibri"/>
              <a:ea typeface="+mn-ea"/>
              <a:cs typeface="+mn-cs"/>
            </a:rPr>
            <a:t>Изложение и обосновка на изменението на ПТС</a:t>
          </a:r>
        </a:p>
        <a:p>
          <a:pPr lvl="0" algn="ctr" defTabSz="533400">
            <a:lnSpc>
              <a:spcPct val="90000"/>
            </a:lnSpc>
            <a:spcBef>
              <a:spcPct val="0"/>
            </a:spcBef>
            <a:spcAft>
              <a:spcPct val="35000"/>
            </a:spcAft>
          </a:pPr>
          <a:endParaRPr lang="bg-BG" sz="1300" kern="1200" dirty="0">
            <a:solidFill>
              <a:sysClr val="window" lastClr="FFFFFF"/>
            </a:solidFill>
            <a:latin typeface="Calibri"/>
            <a:ea typeface="+mn-ea"/>
            <a:cs typeface="+mn-cs"/>
          </a:endParaRPr>
        </a:p>
      </dsp:txBody>
      <dsp:txXfrm>
        <a:off x="2994915" y="563555"/>
        <a:ext cx="1611641" cy="593726"/>
      </dsp:txXfrm>
    </dsp:sp>
    <dsp:sp modelId="{4909D337-9F2C-44ED-B4D1-90FFF4E07CFE}">
      <dsp:nvSpPr>
        <dsp:cNvPr id="0" name=""/>
        <dsp:cNvSpPr/>
      </dsp:nvSpPr>
      <dsp:spPr>
        <a:xfrm>
          <a:off x="3310238" y="1547443"/>
          <a:ext cx="1815904" cy="691869"/>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marR="0" lvl="0" indent="0" algn="ctr" defTabSz="914400" eaLnBrk="1" fontAlgn="auto" latinLnBrk="0" hangingPunct="1">
            <a:lnSpc>
              <a:spcPct val="100000"/>
            </a:lnSpc>
            <a:spcBef>
              <a:spcPct val="0"/>
            </a:spcBef>
            <a:spcAft>
              <a:spcPts val="0"/>
            </a:spcAft>
            <a:buClrTx/>
            <a:buSzTx/>
            <a:buFontTx/>
            <a:buNone/>
            <a:tabLst/>
            <a:defRPr/>
          </a:pPr>
          <a:r>
            <a:rPr lang="bg-BG" sz="1000" kern="1200" baseline="0" dirty="0">
              <a:solidFill>
                <a:sysClr val="window" lastClr="FFFFFF"/>
              </a:solidFill>
              <a:latin typeface="Calibri"/>
              <a:ea typeface="+mn-ea"/>
              <a:cs typeface="+mn-cs"/>
            </a:rPr>
            <a:t>КН на ПТС взема решение по предложението за изменението</a:t>
          </a:r>
        </a:p>
        <a:p>
          <a:pPr lvl="0" algn="ctr" defTabSz="444500">
            <a:lnSpc>
              <a:spcPct val="90000"/>
            </a:lnSpc>
            <a:spcBef>
              <a:spcPct val="0"/>
            </a:spcBef>
            <a:spcAft>
              <a:spcPct val="35000"/>
            </a:spcAft>
          </a:pPr>
          <a:endParaRPr lang="bg-BG" sz="1100" kern="1200" dirty="0">
            <a:solidFill>
              <a:sysClr val="window" lastClr="FFFFFF"/>
            </a:solidFill>
            <a:latin typeface="Calibri"/>
            <a:ea typeface="+mn-ea"/>
            <a:cs typeface="+mn-cs"/>
          </a:endParaRPr>
        </a:p>
      </dsp:txBody>
      <dsp:txXfrm>
        <a:off x="3344012" y="1581217"/>
        <a:ext cx="1748356" cy="624321"/>
      </dsp:txXfrm>
    </dsp:sp>
    <dsp:sp modelId="{DEBA11AA-6F1A-4F26-86AB-A967550F5D48}">
      <dsp:nvSpPr>
        <dsp:cNvPr id="0" name=""/>
        <dsp:cNvSpPr/>
      </dsp:nvSpPr>
      <dsp:spPr>
        <a:xfrm>
          <a:off x="2753759" y="2614575"/>
          <a:ext cx="1681443" cy="673215"/>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bg-BG" sz="1000" kern="1200" baseline="0" dirty="0">
              <a:solidFill>
                <a:sysClr val="window" lastClr="FFFFFF"/>
              </a:solidFill>
              <a:latin typeface="Calibri"/>
              <a:ea typeface="+mn-ea"/>
              <a:cs typeface="+mn-cs"/>
            </a:rPr>
            <a:t>Процедура по преценяване на необходимостта от извършване на екологична оценка</a:t>
          </a:r>
        </a:p>
      </dsp:txBody>
      <dsp:txXfrm>
        <a:off x="2786623" y="2647439"/>
        <a:ext cx="1615715" cy="607487"/>
      </dsp:txXfrm>
    </dsp:sp>
    <dsp:sp modelId="{05C2A68C-8DEB-4D90-839E-EE87867804A4}">
      <dsp:nvSpPr>
        <dsp:cNvPr id="0" name=""/>
        <dsp:cNvSpPr/>
      </dsp:nvSpPr>
      <dsp:spPr>
        <a:xfrm>
          <a:off x="742948" y="2590514"/>
          <a:ext cx="1762546" cy="656094"/>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bg-BG" sz="1000" kern="1200" dirty="0">
              <a:solidFill>
                <a:sysClr val="window" lastClr="FFFFFF"/>
              </a:solidFill>
              <a:latin typeface="Calibri"/>
              <a:ea typeface="+mn-ea"/>
              <a:cs typeface="+mn-cs"/>
            </a:rPr>
            <a:t>Официално искането за изменението на ПТС се представя на ЕК </a:t>
          </a:r>
        </a:p>
      </dsp:txBody>
      <dsp:txXfrm>
        <a:off x="774976" y="2622542"/>
        <a:ext cx="1698490" cy="592038"/>
      </dsp:txXfrm>
    </dsp:sp>
    <dsp:sp modelId="{C79FF51C-7D5A-4CCF-8142-D8A5DE9343D5}">
      <dsp:nvSpPr>
        <dsp:cNvPr id="0" name=""/>
        <dsp:cNvSpPr/>
      </dsp:nvSpPr>
      <dsp:spPr>
        <a:xfrm>
          <a:off x="72748" y="1556968"/>
          <a:ext cx="1763976" cy="683410"/>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bg-BG" sz="1000" kern="1200" dirty="0">
              <a:solidFill>
                <a:sysClr val="window" lastClr="FFFFFF"/>
              </a:solidFill>
              <a:latin typeface="Calibri"/>
              <a:ea typeface="+mn-ea"/>
              <a:cs typeface="+mn-cs"/>
            </a:rPr>
            <a:t>УО на ПТС отразява или отговаря на коментарите на ЕК (в случай, че са постъпили)</a:t>
          </a:r>
        </a:p>
      </dsp:txBody>
      <dsp:txXfrm>
        <a:off x="106109" y="1590329"/>
        <a:ext cx="1697254" cy="616688"/>
      </dsp:txXfrm>
    </dsp:sp>
    <dsp:sp modelId="{8D59A466-F4B6-41DB-A249-AD1B0EB08CC4}">
      <dsp:nvSpPr>
        <dsp:cNvPr id="0" name=""/>
        <dsp:cNvSpPr/>
      </dsp:nvSpPr>
      <dsp:spPr>
        <a:xfrm>
          <a:off x="407034" y="568026"/>
          <a:ext cx="1945640" cy="625587"/>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bg-BG" sz="1000" kern="1200" baseline="0" dirty="0">
              <a:solidFill>
                <a:sysClr val="window" lastClr="FFFFFF"/>
              </a:solidFill>
              <a:latin typeface="Calibri"/>
              <a:ea typeface="+mn-ea"/>
              <a:cs typeface="+mn-cs"/>
            </a:rPr>
            <a:t>Получаване на становище на ЕК по искането за изменение на ПТС </a:t>
          </a:r>
        </a:p>
      </dsp:txBody>
      <dsp:txXfrm>
        <a:off x="437573" y="598565"/>
        <a:ext cx="1884562" cy="56450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A721F1C-8442-4B7D-B2CC-3A8C887BDE77}">
      <dsp:nvSpPr>
        <dsp:cNvPr id="0" name=""/>
        <dsp:cNvSpPr/>
      </dsp:nvSpPr>
      <dsp:spPr>
        <a:xfrm>
          <a:off x="2051811" y="469"/>
          <a:ext cx="3077718" cy="591284"/>
        </a:xfrm>
        <a:prstGeom prst="rightArrow">
          <a:avLst>
            <a:gd name="adj1" fmla="val 75000"/>
            <a:gd name="adj2" fmla="val 50000"/>
          </a:avLst>
        </a:prstGeom>
        <a:solidFill>
          <a:srgbClr val="9BBB59">
            <a:tint val="40000"/>
            <a:alpha val="90000"/>
            <a:hueOff val="0"/>
            <a:satOff val="0"/>
            <a:lumOff val="0"/>
            <a:alphaOff val="0"/>
          </a:srgbClr>
        </a:solidFill>
        <a:ln w="9525" cap="flat" cmpd="sng" algn="ctr">
          <a:solidFill>
            <a:srgbClr val="9BBB59">
              <a:tint val="40000"/>
              <a:alpha val="90000"/>
              <a:hueOff val="0"/>
              <a:satOff val="0"/>
              <a:lumOff val="0"/>
              <a:alphaOff val="0"/>
            </a:srgb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442913" lvl="1" indent="-266700" algn="l" defTabSz="666750">
            <a:lnSpc>
              <a:spcPct val="90000"/>
            </a:lnSpc>
            <a:spcBef>
              <a:spcPct val="0"/>
            </a:spcBef>
            <a:spcAft>
              <a:spcPct val="15000"/>
            </a:spcAft>
            <a:buChar cha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Идентифициране на проблеми</a:t>
          </a:r>
          <a:endParaRPr lang="en-US" sz="900" kern="1200" dirty="0">
            <a:solidFill>
              <a:sysClr val="windowText" lastClr="000000">
                <a:hueOff val="0"/>
                <a:satOff val="0"/>
                <a:lumOff val="0"/>
                <a:alphaOff val="0"/>
              </a:sysClr>
            </a:solidFill>
            <a:latin typeface="Times New Roman" pitchFamily="18" charset="0"/>
            <a:ea typeface="+mn-ea"/>
            <a:cs typeface="Times New Roman" pitchFamily="18" charset="0"/>
          </a:endParaRPr>
        </a:p>
        <a:p>
          <a:pPr marL="442913" lvl="1" indent="-266700" algn="l" defTabSz="666750">
            <a:lnSpc>
              <a:spcPct val="90000"/>
            </a:lnSpc>
            <a:spcBef>
              <a:spcPct val="0"/>
            </a:spcBef>
            <a:spcAft>
              <a:spcPct val="15000"/>
            </a:spcAft>
            <a:buChar cha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Стратегическо проучване</a:t>
          </a:r>
          <a:endParaRPr lang="en-US" sz="900" kern="1200" dirty="0">
            <a:solidFill>
              <a:sysClr val="windowText" lastClr="000000">
                <a:hueOff val="0"/>
                <a:satOff val="0"/>
                <a:lumOff val="0"/>
                <a:alphaOff val="0"/>
              </a:sysClr>
            </a:solidFill>
            <a:latin typeface="Times New Roman" pitchFamily="18" charset="0"/>
            <a:ea typeface="+mn-ea"/>
            <a:cs typeface="Times New Roman" pitchFamily="18" charset="0"/>
          </a:endParaRPr>
        </a:p>
        <a:p>
          <a:pPr marL="442913" lvl="1" indent="-266700" algn="l" defTabSz="666750">
            <a:lnSpc>
              <a:spcPct val="90000"/>
            </a:lnSpc>
            <a:spcBef>
              <a:spcPct val="0"/>
            </a:spcBef>
            <a:spcAft>
              <a:spcPct val="15000"/>
            </a:spcAft>
            <a:buChar char="••"/>
          </a:pPr>
          <a:r>
            <a:rPr lang="bg-BG" sz="900" kern="1200" dirty="0" err="1">
              <a:solidFill>
                <a:sysClr val="windowText" lastClr="000000">
                  <a:hueOff val="0"/>
                  <a:satOff val="0"/>
                  <a:lumOff val="0"/>
                  <a:alphaOff val="0"/>
                </a:sysClr>
              </a:solidFill>
              <a:latin typeface="Times New Roman" pitchFamily="18" charset="0"/>
              <a:ea typeface="+mn-ea"/>
              <a:cs typeface="Times New Roman" pitchFamily="18" charset="0"/>
            </a:rPr>
            <a:t>Предпроектно</a:t>
          </a: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 проучване</a:t>
          </a:r>
          <a:endParaRPr lang="en-US" sz="900" kern="1200" dirty="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2051811" y="74380"/>
        <a:ext cx="2855987" cy="443463"/>
      </dsp:txXfrm>
    </dsp:sp>
    <dsp:sp modelId="{4B440A2D-710B-4BA9-BCB1-C54F7A6E8F83}">
      <dsp:nvSpPr>
        <dsp:cNvPr id="0" name=""/>
        <dsp:cNvSpPr/>
      </dsp:nvSpPr>
      <dsp:spPr>
        <a:xfrm>
          <a:off x="0" y="469"/>
          <a:ext cx="2051812" cy="591284"/>
        </a:xfrm>
        <a:prstGeom prst="roundRect">
          <a:avLst/>
        </a:prstGeom>
        <a:gradFill rotWithShape="0">
          <a:gsLst>
            <a:gs pos="0">
              <a:srgbClr val="9BBB59">
                <a:hueOff val="0"/>
                <a:satOff val="0"/>
                <a:lumOff val="0"/>
                <a:alphaOff val="0"/>
                <a:shade val="51000"/>
                <a:satMod val="130000"/>
              </a:srgbClr>
            </a:gs>
            <a:gs pos="80000">
              <a:srgbClr val="9BBB59">
                <a:hueOff val="0"/>
                <a:satOff val="0"/>
                <a:lumOff val="0"/>
                <a:alphaOff val="0"/>
                <a:shade val="93000"/>
                <a:satMod val="130000"/>
              </a:srgbClr>
            </a:gs>
            <a:gs pos="100000">
              <a:srgbClr val="9BBB59">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bg-BG" sz="1200" kern="1200" dirty="0">
              <a:solidFill>
                <a:sysClr val="window" lastClr="FFFFFF"/>
              </a:solidFill>
              <a:latin typeface="Times New Roman" pitchFamily="18" charset="0"/>
              <a:ea typeface="+mn-ea"/>
              <a:cs typeface="Times New Roman" pitchFamily="18" charset="0"/>
            </a:rPr>
            <a:t>Идентифициране на нуждите</a:t>
          </a:r>
          <a:endParaRPr lang="en-US" sz="1200" kern="1200" dirty="0">
            <a:solidFill>
              <a:sysClr val="window" lastClr="FFFFFF"/>
            </a:solidFill>
            <a:latin typeface="Times New Roman" pitchFamily="18" charset="0"/>
            <a:ea typeface="+mn-ea"/>
            <a:cs typeface="Times New Roman" pitchFamily="18" charset="0"/>
          </a:endParaRPr>
        </a:p>
      </dsp:txBody>
      <dsp:txXfrm>
        <a:off x="28864" y="29333"/>
        <a:ext cx="1994084" cy="533556"/>
      </dsp:txXfrm>
    </dsp:sp>
    <dsp:sp modelId="{CDF16FFB-6CE5-4C52-968F-3BAF16910D1F}">
      <dsp:nvSpPr>
        <dsp:cNvPr id="0" name=""/>
        <dsp:cNvSpPr/>
      </dsp:nvSpPr>
      <dsp:spPr>
        <a:xfrm>
          <a:off x="2051811" y="650882"/>
          <a:ext cx="3077718" cy="591284"/>
        </a:xfrm>
        <a:prstGeom prst="rightArrow">
          <a:avLst>
            <a:gd name="adj1" fmla="val 75000"/>
            <a:gd name="adj2" fmla="val 50000"/>
          </a:avLst>
        </a:prstGeom>
        <a:solidFill>
          <a:srgbClr val="9BBB59">
            <a:tint val="40000"/>
            <a:alpha val="90000"/>
            <a:hueOff val="2143370"/>
            <a:satOff val="-2759"/>
            <a:lumOff val="-215"/>
            <a:alphaOff val="0"/>
          </a:srgbClr>
        </a:solidFill>
        <a:ln w="9525" cap="flat" cmpd="sng" algn="ctr">
          <a:solidFill>
            <a:srgbClr val="9BBB59">
              <a:tint val="40000"/>
              <a:alpha val="90000"/>
              <a:hueOff val="2143370"/>
              <a:satOff val="-2759"/>
              <a:lumOff val="-215"/>
              <a:alphaOff val="0"/>
            </a:srgb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442913" marR="0" lvl="1" indent="-266700" algn="l" defTabSz="914400" eaLnBrk="1" fontAlgn="auto" latinLnBrk="0" hangingPunct="1">
            <a:lnSpc>
              <a:spcPct val="100000"/>
            </a:lnSpc>
            <a:spcBef>
              <a:spcPct val="0"/>
            </a:spcBef>
            <a:spcAft>
              <a:spcPts val="0"/>
            </a:spcAft>
            <a:buClrTx/>
            <a:buSzTx/>
            <a:buFontTx/>
            <a:buChar char="••"/>
            <a:tabLst/>
            <a:defRP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Съответствие със стратегии</a:t>
          </a:r>
          <a:endParaRPr lang="en-US" sz="900" kern="1200" dirty="0">
            <a:solidFill>
              <a:sysClr val="windowText" lastClr="000000">
                <a:hueOff val="0"/>
                <a:satOff val="0"/>
                <a:lumOff val="0"/>
                <a:alphaOff val="0"/>
              </a:sysClr>
            </a:solidFill>
            <a:latin typeface="Times New Roman" pitchFamily="18" charset="0"/>
            <a:ea typeface="+mn-ea"/>
            <a:cs typeface="Times New Roman" pitchFamily="18" charset="0"/>
          </a:endParaRPr>
        </a:p>
        <a:p>
          <a:pPr marL="442913" marR="0" lvl="1" indent="-266700" algn="l" defTabSz="914400" eaLnBrk="1" fontAlgn="auto" latinLnBrk="0" hangingPunct="1">
            <a:lnSpc>
              <a:spcPct val="100000"/>
            </a:lnSpc>
            <a:spcBef>
              <a:spcPct val="0"/>
            </a:spcBef>
            <a:spcAft>
              <a:spcPts val="0"/>
            </a:spcAft>
            <a:buClrTx/>
            <a:buSzTx/>
            <a:buFontTx/>
            <a:buChar char="••"/>
            <a:tabLst/>
            <a:defRP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Анализ „Разходи</a:t>
          </a:r>
          <a:r>
            <a:rPr lang="en-US" sz="900" kern="1200" dirty="0">
              <a:solidFill>
                <a:sysClr val="windowText" lastClr="000000">
                  <a:hueOff val="0"/>
                  <a:satOff val="0"/>
                  <a:lumOff val="0"/>
                  <a:alphaOff val="0"/>
                </a:sysClr>
              </a:solidFill>
              <a:latin typeface="Times New Roman" pitchFamily="18" charset="0"/>
              <a:ea typeface="+mn-ea"/>
              <a:cs typeface="Times New Roman" pitchFamily="18" charset="0"/>
            </a:rPr>
            <a:t> </a:t>
          </a: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ползи“</a:t>
          </a:r>
          <a:endParaRPr lang="en-US" sz="900" kern="1200" dirty="0">
            <a:solidFill>
              <a:sysClr val="windowText" lastClr="000000">
                <a:hueOff val="0"/>
                <a:satOff val="0"/>
                <a:lumOff val="0"/>
                <a:alphaOff val="0"/>
              </a:sysClr>
            </a:solidFill>
            <a:latin typeface="Times New Roman" pitchFamily="18" charset="0"/>
            <a:ea typeface="+mn-ea"/>
            <a:cs typeface="Times New Roman" pitchFamily="18" charset="0"/>
          </a:endParaRPr>
        </a:p>
        <a:p>
          <a:pPr marL="442913" marR="0" lvl="1" indent="-266700" algn="l" defTabSz="914400" eaLnBrk="1" fontAlgn="auto" latinLnBrk="0" hangingPunct="1">
            <a:lnSpc>
              <a:spcPct val="100000"/>
            </a:lnSpc>
            <a:spcBef>
              <a:spcPct val="0"/>
            </a:spcBef>
            <a:spcAft>
              <a:spcPts val="0"/>
            </a:spcAft>
            <a:buClrTx/>
            <a:buSzTx/>
            <a:buFontTx/>
            <a:buChar char="••"/>
            <a:tabLst/>
            <a:defRP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ОВОС</a:t>
          </a:r>
          <a:endParaRPr lang="en-US" sz="900" kern="1200" dirty="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2051811" y="724793"/>
        <a:ext cx="2855987" cy="443463"/>
      </dsp:txXfrm>
    </dsp:sp>
    <dsp:sp modelId="{394981C9-2863-4711-905E-1479C5322EC0}">
      <dsp:nvSpPr>
        <dsp:cNvPr id="0" name=""/>
        <dsp:cNvSpPr/>
      </dsp:nvSpPr>
      <dsp:spPr>
        <a:xfrm>
          <a:off x="0" y="650882"/>
          <a:ext cx="2051812" cy="591284"/>
        </a:xfrm>
        <a:prstGeom prst="roundRect">
          <a:avLst/>
        </a:prstGeom>
        <a:gradFill rotWithShape="0">
          <a:gsLst>
            <a:gs pos="0">
              <a:srgbClr val="9BBB59">
                <a:hueOff val="2250053"/>
                <a:satOff val="-3376"/>
                <a:lumOff val="-549"/>
                <a:alphaOff val="0"/>
                <a:shade val="51000"/>
                <a:satMod val="130000"/>
              </a:srgbClr>
            </a:gs>
            <a:gs pos="80000">
              <a:srgbClr val="9BBB59">
                <a:hueOff val="2250053"/>
                <a:satOff val="-3376"/>
                <a:lumOff val="-549"/>
                <a:alphaOff val="0"/>
                <a:shade val="93000"/>
                <a:satMod val="130000"/>
              </a:srgbClr>
            </a:gs>
            <a:gs pos="100000">
              <a:srgbClr val="9BBB59">
                <a:hueOff val="2250053"/>
                <a:satOff val="-3376"/>
                <a:lumOff val="-549"/>
                <a:alphaOff val="0"/>
                <a:shade val="94000"/>
                <a:satMod val="135000"/>
              </a:srgb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5720" tIns="22860" rIns="45720" bIns="22860" numCol="1" spcCol="1270" anchor="ctr" anchorCtr="0">
          <a:noAutofit/>
        </a:bodyPr>
        <a:lstStyle/>
        <a:p>
          <a:pPr marL="442913" marR="0" lvl="0" indent="-266700" algn="l" defTabSz="914400" eaLnBrk="1" fontAlgn="auto" latinLnBrk="0" hangingPunct="1">
            <a:lnSpc>
              <a:spcPct val="100000"/>
            </a:lnSpc>
            <a:spcBef>
              <a:spcPct val="0"/>
            </a:spcBef>
            <a:spcAft>
              <a:spcPts val="0"/>
            </a:spcAft>
            <a:buClrTx/>
            <a:buSzTx/>
            <a:buFontTx/>
            <a:buNone/>
            <a:tabLst/>
            <a:defRPr/>
          </a:pPr>
          <a:r>
            <a:rPr lang="bg-BG" sz="1200" kern="1200" dirty="0">
              <a:solidFill>
                <a:sysClr val="window" lastClr="FFFFFF"/>
              </a:solidFill>
              <a:latin typeface="Times New Roman" pitchFamily="18" charset="0"/>
              <a:ea typeface="+mn-ea"/>
              <a:cs typeface="Times New Roman" pitchFamily="18" charset="0"/>
            </a:rPr>
            <a:t>Формулиране на проектно предложение</a:t>
          </a:r>
          <a:endParaRPr lang="en-US" sz="1200" kern="1200" dirty="0">
            <a:solidFill>
              <a:sysClr val="window" lastClr="FFFFFF"/>
            </a:solidFill>
            <a:latin typeface="Times New Roman" pitchFamily="18" charset="0"/>
            <a:ea typeface="+mn-ea"/>
            <a:cs typeface="Times New Roman" pitchFamily="18" charset="0"/>
          </a:endParaRPr>
        </a:p>
      </dsp:txBody>
      <dsp:txXfrm>
        <a:off x="28864" y="679746"/>
        <a:ext cx="1994084" cy="533556"/>
      </dsp:txXfrm>
    </dsp:sp>
    <dsp:sp modelId="{26E8BDE7-6A0B-4438-BF3C-539E51DD8607}">
      <dsp:nvSpPr>
        <dsp:cNvPr id="0" name=""/>
        <dsp:cNvSpPr/>
      </dsp:nvSpPr>
      <dsp:spPr>
        <a:xfrm>
          <a:off x="2051811" y="1301295"/>
          <a:ext cx="3077718" cy="591284"/>
        </a:xfrm>
        <a:prstGeom prst="rightArrow">
          <a:avLst>
            <a:gd name="adj1" fmla="val 75000"/>
            <a:gd name="adj2" fmla="val 50000"/>
          </a:avLst>
        </a:prstGeom>
        <a:solidFill>
          <a:srgbClr val="9BBB59">
            <a:tint val="40000"/>
            <a:alpha val="90000"/>
            <a:hueOff val="4286740"/>
            <a:satOff val="-5517"/>
            <a:lumOff val="-430"/>
            <a:alphaOff val="0"/>
          </a:srgbClr>
        </a:solidFill>
        <a:ln w="9525" cap="flat" cmpd="sng" algn="ctr">
          <a:solidFill>
            <a:srgbClr val="9BBB59">
              <a:tint val="40000"/>
              <a:alpha val="90000"/>
              <a:hueOff val="4286740"/>
              <a:satOff val="-5517"/>
              <a:lumOff val="-430"/>
              <a:alphaOff val="0"/>
            </a:srgb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442913" lvl="1" indent="-266700" algn="l" defTabSz="400050">
            <a:lnSpc>
              <a:spcPct val="90000"/>
            </a:lnSpc>
            <a:spcBef>
              <a:spcPct val="0"/>
            </a:spcBef>
            <a:spcAft>
              <a:spcPct val="15000"/>
            </a:spcAft>
            <a:buChar cha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Финансов план</a:t>
          </a:r>
          <a:endParaRPr lang="en-US" sz="900" kern="1200" dirty="0">
            <a:solidFill>
              <a:sysClr val="windowText" lastClr="000000">
                <a:hueOff val="0"/>
                <a:satOff val="0"/>
                <a:lumOff val="0"/>
                <a:alphaOff val="0"/>
              </a:sysClr>
            </a:solidFill>
            <a:latin typeface="Times New Roman" pitchFamily="18" charset="0"/>
            <a:ea typeface="+mn-ea"/>
            <a:cs typeface="Times New Roman" pitchFamily="18" charset="0"/>
          </a:endParaRPr>
        </a:p>
        <a:p>
          <a:pPr marL="442913" lvl="1" indent="-266700" algn="l" defTabSz="400050">
            <a:lnSpc>
              <a:spcPct val="90000"/>
            </a:lnSpc>
            <a:spcBef>
              <a:spcPct val="0"/>
            </a:spcBef>
            <a:spcAft>
              <a:spcPct val="15000"/>
            </a:spcAft>
            <a:buChar cha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Източници на финансиране</a:t>
          </a:r>
          <a:endParaRPr lang="en-US" sz="900" kern="1200" dirty="0">
            <a:solidFill>
              <a:sysClr val="windowText" lastClr="000000">
                <a:hueOff val="0"/>
                <a:satOff val="0"/>
                <a:lumOff val="0"/>
                <a:alphaOff val="0"/>
              </a:sysClr>
            </a:solidFill>
            <a:latin typeface="Times New Roman" pitchFamily="18" charset="0"/>
            <a:ea typeface="+mn-ea"/>
            <a:cs typeface="Times New Roman" pitchFamily="18" charset="0"/>
          </a:endParaRPr>
        </a:p>
        <a:p>
          <a:pPr marL="442913" lvl="1" indent="-266700" algn="l" defTabSz="400050">
            <a:lnSpc>
              <a:spcPct val="90000"/>
            </a:lnSpc>
            <a:spcBef>
              <a:spcPct val="0"/>
            </a:spcBef>
            <a:spcAft>
              <a:spcPct val="15000"/>
            </a:spcAft>
            <a:buChar cha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Договор за БФП</a:t>
          </a:r>
          <a:endParaRPr lang="en-US" sz="900" kern="1200" dirty="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2051811" y="1375206"/>
        <a:ext cx="2855987" cy="443463"/>
      </dsp:txXfrm>
    </dsp:sp>
    <dsp:sp modelId="{68345B52-3657-4111-852D-7DF2910EFC8D}">
      <dsp:nvSpPr>
        <dsp:cNvPr id="0" name=""/>
        <dsp:cNvSpPr/>
      </dsp:nvSpPr>
      <dsp:spPr>
        <a:xfrm>
          <a:off x="0" y="1301295"/>
          <a:ext cx="2051812" cy="591284"/>
        </a:xfrm>
        <a:prstGeom prst="roundRect">
          <a:avLst/>
        </a:prstGeom>
        <a:gradFill rotWithShape="0">
          <a:gsLst>
            <a:gs pos="0">
              <a:srgbClr val="9BBB59">
                <a:hueOff val="4500106"/>
                <a:satOff val="-6752"/>
                <a:lumOff val="-1098"/>
                <a:alphaOff val="0"/>
                <a:shade val="51000"/>
                <a:satMod val="130000"/>
              </a:srgbClr>
            </a:gs>
            <a:gs pos="80000">
              <a:srgbClr val="9BBB59">
                <a:hueOff val="4500106"/>
                <a:satOff val="-6752"/>
                <a:lumOff val="-1098"/>
                <a:alphaOff val="0"/>
                <a:shade val="93000"/>
                <a:satMod val="130000"/>
              </a:srgbClr>
            </a:gs>
            <a:gs pos="100000">
              <a:srgbClr val="9BBB59">
                <a:hueOff val="4500106"/>
                <a:satOff val="-6752"/>
                <a:lumOff val="-1098"/>
                <a:alphaOff val="0"/>
                <a:shade val="94000"/>
                <a:satMod val="135000"/>
              </a:srgb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bg-BG" sz="1200" i="0" kern="1200" dirty="0">
              <a:solidFill>
                <a:sysClr val="window" lastClr="FFFFFF"/>
              </a:solidFill>
              <a:latin typeface="Times New Roman" pitchFamily="18" charset="0"/>
              <a:ea typeface="+mn-ea"/>
              <a:cs typeface="Times New Roman" pitchFamily="18" charset="0"/>
            </a:rPr>
            <a:t>Финансиране</a:t>
          </a:r>
          <a:endParaRPr lang="en-US" sz="1200" i="0" kern="1200" dirty="0">
            <a:solidFill>
              <a:sysClr val="window" lastClr="FFFFFF"/>
            </a:solidFill>
            <a:latin typeface="Times New Roman" pitchFamily="18" charset="0"/>
            <a:ea typeface="+mn-ea"/>
            <a:cs typeface="Times New Roman" pitchFamily="18" charset="0"/>
          </a:endParaRPr>
        </a:p>
      </dsp:txBody>
      <dsp:txXfrm>
        <a:off x="28864" y="1330159"/>
        <a:ext cx="1994084" cy="533556"/>
      </dsp:txXfrm>
    </dsp:sp>
    <dsp:sp modelId="{F276D9A1-4F4B-4AC0-8B56-A3478A924ECD}">
      <dsp:nvSpPr>
        <dsp:cNvPr id="0" name=""/>
        <dsp:cNvSpPr/>
      </dsp:nvSpPr>
      <dsp:spPr>
        <a:xfrm>
          <a:off x="2051811" y="1951709"/>
          <a:ext cx="3077718" cy="591284"/>
        </a:xfrm>
        <a:prstGeom prst="rightArrow">
          <a:avLst>
            <a:gd name="adj1" fmla="val 75000"/>
            <a:gd name="adj2" fmla="val 50000"/>
          </a:avLst>
        </a:prstGeom>
        <a:solidFill>
          <a:srgbClr val="9BBB59">
            <a:tint val="40000"/>
            <a:alpha val="90000"/>
            <a:hueOff val="6430110"/>
            <a:satOff val="-8276"/>
            <a:lumOff val="-645"/>
            <a:alphaOff val="0"/>
          </a:srgbClr>
        </a:solidFill>
        <a:ln w="9525" cap="flat" cmpd="sng" algn="ctr">
          <a:solidFill>
            <a:srgbClr val="9BBB59">
              <a:tint val="40000"/>
              <a:alpha val="90000"/>
              <a:hueOff val="6430110"/>
              <a:satOff val="-8276"/>
              <a:lumOff val="-645"/>
              <a:alphaOff val="0"/>
            </a:srgb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442913" lvl="1" indent="-266700" algn="l" defTabSz="400050">
            <a:lnSpc>
              <a:spcPct val="90000"/>
            </a:lnSpc>
            <a:spcBef>
              <a:spcPct val="0"/>
            </a:spcBef>
            <a:spcAft>
              <a:spcPct val="15000"/>
            </a:spcAft>
            <a:buChar cha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Обществени поръчки</a:t>
          </a:r>
          <a:endParaRPr lang="en-US" sz="900" kern="1200" dirty="0">
            <a:solidFill>
              <a:sysClr val="windowText" lastClr="000000">
                <a:hueOff val="0"/>
                <a:satOff val="0"/>
                <a:lumOff val="0"/>
                <a:alphaOff val="0"/>
              </a:sysClr>
            </a:solidFill>
            <a:latin typeface="Times New Roman" pitchFamily="18" charset="0"/>
            <a:ea typeface="+mn-ea"/>
            <a:cs typeface="Times New Roman" pitchFamily="18" charset="0"/>
          </a:endParaRPr>
        </a:p>
        <a:p>
          <a:pPr marL="442913" lvl="1" indent="-266700" algn="l" defTabSz="400050">
            <a:lnSpc>
              <a:spcPct val="90000"/>
            </a:lnSpc>
            <a:spcBef>
              <a:spcPct val="0"/>
            </a:spcBef>
            <a:spcAft>
              <a:spcPct val="15000"/>
            </a:spcAft>
            <a:buChar cha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Плащания</a:t>
          </a:r>
          <a:endParaRPr lang="en-US" sz="900" kern="1200" dirty="0">
            <a:solidFill>
              <a:sysClr val="windowText" lastClr="000000">
                <a:hueOff val="0"/>
                <a:satOff val="0"/>
                <a:lumOff val="0"/>
                <a:alphaOff val="0"/>
              </a:sysClr>
            </a:solidFill>
            <a:latin typeface="Times New Roman" pitchFamily="18" charset="0"/>
            <a:ea typeface="+mn-ea"/>
            <a:cs typeface="Times New Roman" pitchFamily="18" charset="0"/>
          </a:endParaRPr>
        </a:p>
        <a:p>
          <a:pPr marL="442913" lvl="1" indent="-266700" algn="l" defTabSz="400050">
            <a:lnSpc>
              <a:spcPct val="90000"/>
            </a:lnSpc>
            <a:spcBef>
              <a:spcPct val="0"/>
            </a:spcBef>
            <a:spcAft>
              <a:spcPct val="15000"/>
            </a:spcAft>
            <a:buChar cha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Контрол по изпълнението</a:t>
          </a:r>
          <a:endParaRPr lang="en-US" sz="900" kern="1200" dirty="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2051811" y="2025620"/>
        <a:ext cx="2855987" cy="443463"/>
      </dsp:txXfrm>
    </dsp:sp>
    <dsp:sp modelId="{3221C8F2-6E52-432E-AF4D-47991445AA5A}">
      <dsp:nvSpPr>
        <dsp:cNvPr id="0" name=""/>
        <dsp:cNvSpPr/>
      </dsp:nvSpPr>
      <dsp:spPr>
        <a:xfrm>
          <a:off x="0" y="1951709"/>
          <a:ext cx="2051812" cy="591284"/>
        </a:xfrm>
        <a:prstGeom prst="roundRect">
          <a:avLst/>
        </a:prstGeom>
        <a:gradFill rotWithShape="0">
          <a:gsLst>
            <a:gs pos="0">
              <a:srgbClr val="9BBB59">
                <a:hueOff val="6750158"/>
                <a:satOff val="-10128"/>
                <a:lumOff val="-1647"/>
                <a:alphaOff val="0"/>
                <a:shade val="51000"/>
                <a:satMod val="130000"/>
              </a:srgbClr>
            </a:gs>
            <a:gs pos="80000">
              <a:srgbClr val="9BBB59">
                <a:hueOff val="6750158"/>
                <a:satOff val="-10128"/>
                <a:lumOff val="-1647"/>
                <a:alphaOff val="0"/>
                <a:shade val="93000"/>
                <a:satMod val="130000"/>
              </a:srgbClr>
            </a:gs>
            <a:gs pos="100000">
              <a:srgbClr val="9BBB59">
                <a:hueOff val="6750158"/>
                <a:satOff val="-10128"/>
                <a:lumOff val="-1647"/>
                <a:alphaOff val="0"/>
                <a:shade val="94000"/>
                <a:satMod val="135000"/>
              </a:srgb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bg-BG" sz="1200" i="0" kern="1200" dirty="0">
              <a:solidFill>
                <a:sysClr val="window" lastClr="FFFFFF"/>
              </a:solidFill>
              <a:latin typeface="Times New Roman" pitchFamily="18" charset="0"/>
              <a:ea typeface="+mn-ea"/>
              <a:cs typeface="Times New Roman" pitchFamily="18" charset="0"/>
            </a:rPr>
            <a:t>Изпълнение</a:t>
          </a:r>
          <a:r>
            <a:rPr lang="bg-BG" sz="1200" i="1" kern="1200" dirty="0">
              <a:solidFill>
                <a:sysClr val="window" lastClr="FFFFFF"/>
              </a:solidFill>
              <a:latin typeface="Calibri"/>
              <a:ea typeface="+mn-ea"/>
              <a:cs typeface="+mn-cs"/>
            </a:rPr>
            <a:t>  </a:t>
          </a:r>
          <a:endParaRPr lang="en-US" sz="1200" kern="1200" dirty="0">
            <a:solidFill>
              <a:sysClr val="window" lastClr="FFFFFF"/>
            </a:solidFill>
            <a:latin typeface="Calibri"/>
            <a:ea typeface="+mn-ea"/>
            <a:cs typeface="+mn-cs"/>
          </a:endParaRPr>
        </a:p>
      </dsp:txBody>
      <dsp:txXfrm>
        <a:off x="28864" y="1980573"/>
        <a:ext cx="1994084" cy="533556"/>
      </dsp:txXfrm>
    </dsp:sp>
    <dsp:sp modelId="{17EF7E93-6B14-4F6D-A3D0-1F23A64FEA6B}">
      <dsp:nvSpPr>
        <dsp:cNvPr id="0" name=""/>
        <dsp:cNvSpPr/>
      </dsp:nvSpPr>
      <dsp:spPr>
        <a:xfrm>
          <a:off x="2051811" y="2602122"/>
          <a:ext cx="3077718" cy="591284"/>
        </a:xfrm>
        <a:prstGeom prst="rightArrow">
          <a:avLst>
            <a:gd name="adj1" fmla="val 75000"/>
            <a:gd name="adj2" fmla="val 50000"/>
          </a:avLst>
        </a:prstGeom>
        <a:solidFill>
          <a:srgbClr val="9BBB59">
            <a:tint val="40000"/>
            <a:alpha val="90000"/>
            <a:hueOff val="8573481"/>
            <a:satOff val="-11034"/>
            <a:lumOff val="-860"/>
            <a:alphaOff val="0"/>
          </a:srgbClr>
        </a:solidFill>
        <a:ln w="9525" cap="flat" cmpd="sng" algn="ctr">
          <a:solidFill>
            <a:srgbClr val="9BBB59">
              <a:tint val="40000"/>
              <a:alpha val="90000"/>
              <a:hueOff val="8573481"/>
              <a:satOff val="-11034"/>
              <a:lumOff val="-860"/>
              <a:alphaOff val="0"/>
            </a:srgb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442913" lvl="1" indent="-266700" algn="l" defTabSz="400050">
            <a:lnSpc>
              <a:spcPct val="90000"/>
            </a:lnSpc>
            <a:spcBef>
              <a:spcPct val="0"/>
            </a:spcBef>
            <a:spcAft>
              <a:spcPct val="15000"/>
            </a:spcAft>
            <a:buChar cha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Окончателен доклад</a:t>
          </a:r>
          <a:endParaRPr lang="bg-BG" sz="900" kern="1200" dirty="0">
            <a:solidFill>
              <a:sysClr val="windowText" lastClr="000000">
                <a:hueOff val="0"/>
                <a:satOff val="0"/>
                <a:lumOff val="0"/>
                <a:alphaOff val="0"/>
              </a:sysClr>
            </a:solidFill>
            <a:latin typeface="Calibri"/>
            <a:ea typeface="+mn-ea"/>
            <a:cs typeface="+mn-cs"/>
          </a:endParaRPr>
        </a:p>
        <a:p>
          <a:pPr marL="442913" lvl="1" indent="-266700" algn="l" defTabSz="400050">
            <a:lnSpc>
              <a:spcPct val="90000"/>
            </a:lnSpc>
            <a:spcBef>
              <a:spcPct val="0"/>
            </a:spcBef>
            <a:spcAft>
              <a:spcPct val="15000"/>
            </a:spcAft>
            <a:buChar cha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Поддръжка и функциониране</a:t>
          </a:r>
        </a:p>
        <a:p>
          <a:pPr marL="442913" lvl="1" indent="-266700" algn="l" defTabSz="400050">
            <a:lnSpc>
              <a:spcPct val="90000"/>
            </a:lnSpc>
            <a:spcBef>
              <a:spcPct val="0"/>
            </a:spcBef>
            <a:spcAft>
              <a:spcPct val="15000"/>
            </a:spcAft>
            <a:buChar cha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Индикатори</a:t>
          </a:r>
        </a:p>
      </dsp:txBody>
      <dsp:txXfrm>
        <a:off x="2051811" y="2676033"/>
        <a:ext cx="2855987" cy="443463"/>
      </dsp:txXfrm>
    </dsp:sp>
    <dsp:sp modelId="{A4609750-B5D6-45B6-A39A-B57CC4BB0EAF}">
      <dsp:nvSpPr>
        <dsp:cNvPr id="0" name=""/>
        <dsp:cNvSpPr/>
      </dsp:nvSpPr>
      <dsp:spPr>
        <a:xfrm>
          <a:off x="0" y="2602122"/>
          <a:ext cx="2051812" cy="591284"/>
        </a:xfrm>
        <a:prstGeom prst="roundRect">
          <a:avLst/>
        </a:prstGeom>
        <a:gradFill rotWithShape="0">
          <a:gsLst>
            <a:gs pos="0">
              <a:srgbClr val="9BBB59">
                <a:hueOff val="9000211"/>
                <a:satOff val="-13504"/>
                <a:lumOff val="-2196"/>
                <a:alphaOff val="0"/>
                <a:shade val="51000"/>
                <a:satMod val="130000"/>
              </a:srgbClr>
            </a:gs>
            <a:gs pos="80000">
              <a:srgbClr val="9BBB59">
                <a:hueOff val="9000211"/>
                <a:satOff val="-13504"/>
                <a:lumOff val="-2196"/>
                <a:alphaOff val="0"/>
                <a:shade val="93000"/>
                <a:satMod val="130000"/>
              </a:srgbClr>
            </a:gs>
            <a:gs pos="100000">
              <a:srgbClr val="9BBB59">
                <a:hueOff val="9000211"/>
                <a:satOff val="-13504"/>
                <a:lumOff val="-2196"/>
                <a:alphaOff val="0"/>
                <a:shade val="94000"/>
                <a:satMod val="135000"/>
              </a:srgb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bg-BG" sz="1200" kern="1200" dirty="0">
              <a:solidFill>
                <a:sysClr val="window" lastClr="FFFFFF"/>
              </a:solidFill>
              <a:latin typeface="Times New Roman" pitchFamily="18" charset="0"/>
              <a:ea typeface="+mn-ea"/>
              <a:cs typeface="Times New Roman" pitchFamily="18" charset="0"/>
            </a:rPr>
            <a:t>Оценка</a:t>
          </a:r>
          <a:endParaRPr lang="en-US" sz="1200" kern="1200" dirty="0">
            <a:solidFill>
              <a:sysClr val="window" lastClr="FFFFFF"/>
            </a:solidFill>
            <a:latin typeface="Times New Roman" pitchFamily="18" charset="0"/>
            <a:ea typeface="+mn-ea"/>
            <a:cs typeface="Times New Roman" pitchFamily="18" charset="0"/>
          </a:endParaRPr>
        </a:p>
      </dsp:txBody>
      <dsp:txXfrm>
        <a:off x="28864" y="2630986"/>
        <a:ext cx="1994084" cy="533556"/>
      </dsp:txXfrm>
    </dsp:sp>
    <dsp:sp modelId="{6216B28F-2190-4D63-A157-381DCB790D69}">
      <dsp:nvSpPr>
        <dsp:cNvPr id="0" name=""/>
        <dsp:cNvSpPr/>
      </dsp:nvSpPr>
      <dsp:spPr>
        <a:xfrm>
          <a:off x="2051811" y="3252535"/>
          <a:ext cx="3077718" cy="591284"/>
        </a:xfrm>
        <a:prstGeom prst="rightArrow">
          <a:avLst>
            <a:gd name="adj1" fmla="val 75000"/>
            <a:gd name="adj2" fmla="val 50000"/>
          </a:avLst>
        </a:prstGeom>
        <a:solidFill>
          <a:srgbClr val="9BBB59">
            <a:tint val="40000"/>
            <a:alpha val="90000"/>
            <a:hueOff val="10716850"/>
            <a:satOff val="-13793"/>
            <a:lumOff val="-1075"/>
            <a:alphaOff val="0"/>
          </a:srgbClr>
        </a:solidFill>
        <a:ln w="9525" cap="flat" cmpd="sng" algn="ctr">
          <a:solidFill>
            <a:srgbClr val="9BBB59">
              <a:tint val="40000"/>
              <a:alpha val="90000"/>
              <a:hueOff val="10716850"/>
              <a:satOff val="-13793"/>
              <a:lumOff val="-1075"/>
              <a:alphaOff val="0"/>
            </a:srgb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442913" lvl="1" indent="-266700" algn="l" defTabSz="400050">
            <a:lnSpc>
              <a:spcPct val="90000"/>
            </a:lnSpc>
            <a:spcBef>
              <a:spcPct val="0"/>
            </a:spcBef>
            <a:spcAft>
              <a:spcPct val="15000"/>
            </a:spcAft>
            <a:buChar cha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Досие на проекта</a:t>
          </a:r>
          <a:endParaRPr lang="bg-BG" sz="900" kern="1200" dirty="0">
            <a:solidFill>
              <a:sysClr val="windowText" lastClr="000000">
                <a:hueOff val="0"/>
                <a:satOff val="0"/>
                <a:lumOff val="0"/>
                <a:alphaOff val="0"/>
              </a:sysClr>
            </a:solidFill>
            <a:latin typeface="Calibri"/>
            <a:ea typeface="+mn-ea"/>
            <a:cs typeface="+mn-cs"/>
          </a:endParaRPr>
        </a:p>
      </dsp:txBody>
      <dsp:txXfrm>
        <a:off x="2051811" y="3326446"/>
        <a:ext cx="2855987" cy="443463"/>
      </dsp:txXfrm>
    </dsp:sp>
    <dsp:sp modelId="{C1026AE3-3818-48AC-861B-6A3AD77BF423}">
      <dsp:nvSpPr>
        <dsp:cNvPr id="0" name=""/>
        <dsp:cNvSpPr/>
      </dsp:nvSpPr>
      <dsp:spPr>
        <a:xfrm>
          <a:off x="0" y="3252535"/>
          <a:ext cx="2051812" cy="591284"/>
        </a:xfrm>
        <a:prstGeom prst="roundRect">
          <a:avLst/>
        </a:prstGeom>
        <a:gradFill rotWithShape="0">
          <a:gsLst>
            <a:gs pos="0">
              <a:srgbClr val="9BBB59">
                <a:hueOff val="11250264"/>
                <a:satOff val="-16880"/>
                <a:lumOff val="-2745"/>
                <a:alphaOff val="0"/>
                <a:shade val="51000"/>
                <a:satMod val="130000"/>
              </a:srgbClr>
            </a:gs>
            <a:gs pos="80000">
              <a:srgbClr val="9BBB59">
                <a:hueOff val="11250264"/>
                <a:satOff val="-16880"/>
                <a:lumOff val="-2745"/>
                <a:alphaOff val="0"/>
                <a:shade val="93000"/>
                <a:satMod val="130000"/>
              </a:srgbClr>
            </a:gs>
            <a:gs pos="100000">
              <a:srgbClr val="9BBB59">
                <a:hueOff val="11250264"/>
                <a:satOff val="-16880"/>
                <a:lumOff val="-2745"/>
                <a:alphaOff val="0"/>
                <a:shade val="94000"/>
                <a:satMod val="135000"/>
              </a:srgb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5720" tIns="22860" rIns="45720" bIns="22860" numCol="1" spcCol="1270" anchor="ctr" anchorCtr="0">
          <a:noAutofit/>
        </a:bodyPr>
        <a:lstStyle/>
        <a:p>
          <a:pPr marL="442913" lvl="0" indent="-266700" algn="ctr" defTabSz="533400">
            <a:lnSpc>
              <a:spcPct val="90000"/>
            </a:lnSpc>
            <a:spcBef>
              <a:spcPct val="0"/>
            </a:spcBef>
            <a:spcAft>
              <a:spcPct val="35000"/>
            </a:spcAft>
          </a:pPr>
          <a:r>
            <a:rPr lang="bg-BG" sz="1200" kern="1200" dirty="0">
              <a:solidFill>
                <a:sysClr val="window" lastClr="FFFFFF"/>
              </a:solidFill>
              <a:latin typeface="Times New Roman" pitchFamily="18" charset="0"/>
              <a:ea typeface="+mn-ea"/>
              <a:cs typeface="Times New Roman" pitchFamily="18" charset="0"/>
            </a:rPr>
            <a:t>Приключване </a:t>
          </a:r>
          <a:endParaRPr lang="bg-BG" sz="1200" kern="1200" dirty="0">
            <a:solidFill>
              <a:sysClr val="window" lastClr="FFFFFF"/>
            </a:solidFill>
            <a:latin typeface="Calibri"/>
            <a:ea typeface="+mn-ea"/>
            <a:cs typeface="+mn-cs"/>
          </a:endParaRPr>
        </a:p>
      </dsp:txBody>
      <dsp:txXfrm>
        <a:off x="28864" y="3281399"/>
        <a:ext cx="1994084" cy="533556"/>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2E1FE1F-099C-4F63-813D-AC2388E8F64C}">
      <dsp:nvSpPr>
        <dsp:cNvPr id="0" name=""/>
        <dsp:cNvSpPr/>
      </dsp:nvSpPr>
      <dsp:spPr>
        <a:xfrm>
          <a:off x="1771275" y="34513"/>
          <a:ext cx="7175064" cy="652949"/>
        </a:xfrm>
        <a:prstGeom prst="rightArrow">
          <a:avLst>
            <a:gd name="adj1" fmla="val 75000"/>
            <a:gd name="adj2" fmla="val 50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Социално-икономическите условия в държавата/региона, с които е свързан проектът;</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 Политиката и институционалните аспекти, включително съществуващите икономически политики и планове за развитие със заложените политическите цели;</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 Съществуващата инфраструктура и предлагане на услуги; възприемането и очакванията на населението по отношение на новата услуга.</a:t>
          </a:r>
        </a:p>
      </dsp:txBody>
      <dsp:txXfrm>
        <a:off x="1771275" y="116132"/>
        <a:ext cx="6930208" cy="489711"/>
      </dsp:txXfrm>
    </dsp:sp>
    <dsp:sp modelId="{33EFA91E-E0E2-4445-BD62-24139CB31077}">
      <dsp:nvSpPr>
        <dsp:cNvPr id="0" name=""/>
        <dsp:cNvSpPr/>
      </dsp:nvSpPr>
      <dsp:spPr>
        <a:xfrm>
          <a:off x="0" y="105127"/>
          <a:ext cx="1760841" cy="442428"/>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88950">
            <a:lnSpc>
              <a:spcPct val="90000"/>
            </a:lnSpc>
            <a:spcBef>
              <a:spcPct val="0"/>
            </a:spcBef>
            <a:spcAft>
              <a:spcPct val="35000"/>
            </a:spcAft>
          </a:pPr>
          <a:r>
            <a:rPr lang="bg-BG" sz="1100" kern="1200">
              <a:solidFill>
                <a:sysClr val="window" lastClr="FFFFFF"/>
              </a:solidFill>
              <a:latin typeface="Calibri"/>
              <a:ea typeface="+mn-ea"/>
              <a:cs typeface="+mn-cs"/>
            </a:rPr>
            <a:t>(1) Представяне на контекста</a:t>
          </a:r>
        </a:p>
      </dsp:txBody>
      <dsp:txXfrm>
        <a:off x="21598" y="126725"/>
        <a:ext cx="1717645" cy="399232"/>
      </dsp:txXfrm>
    </dsp:sp>
    <dsp:sp modelId="{BFB5608D-3362-4223-A0F6-4EA60563B6B6}">
      <dsp:nvSpPr>
        <dsp:cNvPr id="0" name=""/>
        <dsp:cNvSpPr/>
      </dsp:nvSpPr>
      <dsp:spPr>
        <a:xfrm>
          <a:off x="1773973" y="731360"/>
          <a:ext cx="7168057" cy="728366"/>
        </a:xfrm>
        <a:prstGeom prst="rightArrow">
          <a:avLst>
            <a:gd name="adj1" fmla="val 75000"/>
            <a:gd name="adj2" fmla="val 50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Определят се ясни цели на проекта, за установяване доколко инвестицията отговаря на съществуваща нужда и за да се направи оценка на резултатите и на въздействието на проекта;</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Установяване на приносът на проекта за социалното благополучие и за постигане на специфичните цели на приоритета на ПТС.</a:t>
          </a:r>
        </a:p>
      </dsp:txBody>
      <dsp:txXfrm>
        <a:off x="1773973" y="822406"/>
        <a:ext cx="6894920" cy="546274"/>
      </dsp:txXfrm>
    </dsp:sp>
    <dsp:sp modelId="{2750DAE2-EA73-4FA0-B9CF-E2AB2664FCA6}">
      <dsp:nvSpPr>
        <dsp:cNvPr id="0" name=""/>
        <dsp:cNvSpPr/>
      </dsp:nvSpPr>
      <dsp:spPr>
        <a:xfrm>
          <a:off x="0" y="840027"/>
          <a:ext cx="1759121" cy="442428"/>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15240" rIns="30480" bIns="15240" numCol="1" spcCol="1270" anchor="ctr" anchorCtr="0">
          <a:noAutofit/>
        </a:bodyPr>
        <a:lstStyle/>
        <a:p>
          <a:pPr lvl="0" algn="ctr" defTabSz="355600">
            <a:lnSpc>
              <a:spcPct val="90000"/>
            </a:lnSpc>
            <a:spcBef>
              <a:spcPct val="0"/>
            </a:spcBef>
            <a:spcAft>
              <a:spcPct val="35000"/>
            </a:spcAft>
          </a:pPr>
          <a:r>
            <a:rPr lang="bg-BG" sz="800" kern="1200">
              <a:solidFill>
                <a:sysClr val="window" lastClr="FFFFFF"/>
              </a:solidFill>
              <a:latin typeface="Calibri"/>
              <a:ea typeface="+mn-ea"/>
              <a:cs typeface="+mn-cs"/>
            </a:rPr>
            <a:t>(2) Определяне на целите</a:t>
          </a:r>
        </a:p>
      </dsp:txBody>
      <dsp:txXfrm>
        <a:off x="21598" y="861625"/>
        <a:ext cx="1715925" cy="399232"/>
      </dsp:txXfrm>
    </dsp:sp>
    <dsp:sp modelId="{D56B33E6-E946-415E-9079-C67F3C8216CE}">
      <dsp:nvSpPr>
        <dsp:cNvPr id="0" name=""/>
        <dsp:cNvSpPr/>
      </dsp:nvSpPr>
      <dsp:spPr>
        <a:xfrm>
          <a:off x="1771275" y="1503969"/>
          <a:ext cx="7175064" cy="645835"/>
        </a:xfrm>
        <a:prstGeom prst="rightArrow">
          <a:avLst>
            <a:gd name="adj1" fmla="val 75000"/>
            <a:gd name="adj2" fmla="val 50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Проектът трябва да е ясно идентифициран като самостоятелна единица за анализ;</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 описание на районът на въздействие, крайните бенефициенти и и съответните заинтересовани страни;</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Структура, отговаряща за изпълнението;</a:t>
          </a:r>
        </a:p>
      </dsp:txBody>
      <dsp:txXfrm>
        <a:off x="1771275" y="1584698"/>
        <a:ext cx="6932876" cy="484377"/>
      </dsp:txXfrm>
    </dsp:sp>
    <dsp:sp modelId="{9068DA47-CE21-4CA2-91BA-CA69C5B53E40}">
      <dsp:nvSpPr>
        <dsp:cNvPr id="0" name=""/>
        <dsp:cNvSpPr/>
      </dsp:nvSpPr>
      <dsp:spPr>
        <a:xfrm>
          <a:off x="0" y="1571371"/>
          <a:ext cx="1760841" cy="442428"/>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15240" rIns="30480" bIns="15240" numCol="1" spcCol="1270" anchor="ctr" anchorCtr="0">
          <a:noAutofit/>
        </a:bodyPr>
        <a:lstStyle/>
        <a:p>
          <a:pPr lvl="0" algn="ctr" defTabSz="355600">
            <a:lnSpc>
              <a:spcPct val="90000"/>
            </a:lnSpc>
            <a:spcBef>
              <a:spcPct val="0"/>
            </a:spcBef>
            <a:spcAft>
              <a:spcPct val="35000"/>
            </a:spcAft>
          </a:pPr>
          <a:r>
            <a:rPr lang="bg-BG" sz="800" kern="1200">
              <a:solidFill>
                <a:sysClr val="window" lastClr="FFFFFF"/>
              </a:solidFill>
              <a:latin typeface="Calibri"/>
              <a:ea typeface="+mn-ea"/>
              <a:cs typeface="+mn-cs"/>
            </a:rPr>
            <a:t>(3) Идентификация на проекта</a:t>
          </a:r>
        </a:p>
      </dsp:txBody>
      <dsp:txXfrm>
        <a:off x="21598" y="1592969"/>
        <a:ext cx="1717645" cy="399232"/>
      </dsp:txXfrm>
    </dsp:sp>
    <dsp:sp modelId="{49E6B04D-B4B3-4DE5-9C10-E31FA9487255}">
      <dsp:nvSpPr>
        <dsp:cNvPr id="0" name=""/>
        <dsp:cNvSpPr/>
      </dsp:nvSpPr>
      <dsp:spPr>
        <a:xfrm>
          <a:off x="1762904" y="2189199"/>
          <a:ext cx="7175064" cy="687242"/>
        </a:xfrm>
        <a:prstGeom prst="rightArrow">
          <a:avLst>
            <a:gd name="adj1" fmla="val 75000"/>
            <a:gd name="adj2" fmla="val 50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Анализ на осъществимостта - потенциалните ограничения и свързаните с тях решения по отношение на техническите, икономическите, екологичните аспекти, както и във връзка със смекчаването на изменението на климата и адаптирането към него, регулаторните и институционалните аспекти;</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Анализ на търсенето - настоящото търсене, прогнозното търсене, аспекти на предлагането, мрежов ефект;</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Анализ на вариантите;</a:t>
          </a:r>
        </a:p>
      </dsp:txBody>
      <dsp:txXfrm>
        <a:off x="1762904" y="2275104"/>
        <a:ext cx="6917348" cy="515432"/>
      </dsp:txXfrm>
    </dsp:sp>
    <dsp:sp modelId="{211DC56C-7425-416A-A2C7-BE8F47711553}">
      <dsp:nvSpPr>
        <dsp:cNvPr id="0" name=""/>
        <dsp:cNvSpPr/>
      </dsp:nvSpPr>
      <dsp:spPr>
        <a:xfrm>
          <a:off x="0" y="2282153"/>
          <a:ext cx="1760841" cy="442428"/>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15240" rIns="30480" bIns="15240" numCol="1" spcCol="1270" anchor="ctr" anchorCtr="0">
          <a:noAutofit/>
        </a:bodyPr>
        <a:lstStyle/>
        <a:p>
          <a:pPr lvl="0" algn="ctr" defTabSz="355600">
            <a:lnSpc>
              <a:spcPct val="90000"/>
            </a:lnSpc>
            <a:spcBef>
              <a:spcPct val="0"/>
            </a:spcBef>
            <a:spcAft>
              <a:spcPct val="35000"/>
            </a:spcAft>
          </a:pPr>
          <a:r>
            <a:rPr lang="bg-BG" sz="800" kern="1200">
              <a:solidFill>
                <a:sysClr val="window" lastClr="FFFFFF"/>
              </a:solidFill>
              <a:latin typeface="Calibri"/>
              <a:ea typeface="+mn-ea"/>
              <a:cs typeface="+mn-cs"/>
            </a:rPr>
            <a:t>(4) Резултати от предпроектните проучвания с анализ на търсенето и на вариантите</a:t>
          </a:r>
        </a:p>
      </dsp:txBody>
      <dsp:txXfrm>
        <a:off x="21598" y="2303751"/>
        <a:ext cx="1717645" cy="399232"/>
      </dsp:txXfrm>
    </dsp:sp>
    <dsp:sp modelId="{E5E549D9-7EDF-43BD-88A3-4AAA46405C62}">
      <dsp:nvSpPr>
        <dsp:cNvPr id="0" name=""/>
        <dsp:cNvSpPr/>
      </dsp:nvSpPr>
      <dsp:spPr>
        <a:xfrm>
          <a:off x="1741815" y="2925736"/>
          <a:ext cx="7175064" cy="606963"/>
        </a:xfrm>
        <a:prstGeom prst="rightArrow">
          <a:avLst>
            <a:gd name="adj1" fmla="val 75000"/>
            <a:gd name="adj2" fmla="val 50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Методология на дисконтираните парични потоци, прилагане на метода на пределните величини и други принципи на финансовия анализ;</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Резултати от финансовия анализ - оценка на финансовата рентабилност на инвестицията и на националния капитал, определяне на подходящия (максимален) принос от фондовете, осигуряване на финансова жизнеспособност (устойчивост);</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Финансов анализ при публично-частното партньорство (ПЧП);</a:t>
          </a:r>
        </a:p>
      </dsp:txBody>
      <dsp:txXfrm>
        <a:off x="1741815" y="3001606"/>
        <a:ext cx="6947453" cy="455223"/>
      </dsp:txXfrm>
    </dsp:sp>
    <dsp:sp modelId="{93153221-A75A-4FB4-A3C3-FEDDD0227304}">
      <dsp:nvSpPr>
        <dsp:cNvPr id="0" name=""/>
        <dsp:cNvSpPr/>
      </dsp:nvSpPr>
      <dsp:spPr>
        <a:xfrm>
          <a:off x="0" y="2973499"/>
          <a:ext cx="1760841" cy="442428"/>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15240" rIns="30480" bIns="15240" numCol="1" spcCol="1270" anchor="ctr" anchorCtr="0">
          <a:noAutofit/>
        </a:bodyPr>
        <a:lstStyle/>
        <a:p>
          <a:pPr lvl="0" algn="ctr" defTabSz="355600">
            <a:lnSpc>
              <a:spcPct val="90000"/>
            </a:lnSpc>
            <a:spcBef>
              <a:spcPct val="0"/>
            </a:spcBef>
            <a:spcAft>
              <a:spcPct val="35000"/>
            </a:spcAft>
          </a:pPr>
          <a:r>
            <a:rPr lang="bg-BG" sz="800" kern="1200">
              <a:solidFill>
                <a:sysClr val="window" lastClr="FFFFFF"/>
              </a:solidFill>
              <a:latin typeface="Calibri"/>
              <a:ea typeface="+mn-ea"/>
              <a:cs typeface="+mn-cs"/>
            </a:rPr>
            <a:t>(5) Финансов анализ</a:t>
          </a:r>
        </a:p>
      </dsp:txBody>
      <dsp:txXfrm>
        <a:off x="21598" y="2995097"/>
        <a:ext cx="1717645" cy="399232"/>
      </dsp:txXfrm>
    </dsp:sp>
    <dsp:sp modelId="{D53AFAAB-FE5B-4F69-879B-F39E52E438CA}">
      <dsp:nvSpPr>
        <dsp:cNvPr id="0" name=""/>
        <dsp:cNvSpPr/>
      </dsp:nvSpPr>
      <dsp:spPr>
        <a:xfrm>
          <a:off x="1771275" y="3566532"/>
          <a:ext cx="7175064" cy="660333"/>
        </a:xfrm>
        <a:prstGeom prst="rightArrow">
          <a:avLst>
            <a:gd name="adj1" fmla="val 75000"/>
            <a:gd name="adj2" fmla="val 50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Основни етапи на икономическия анализ;</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Изчисляване на показателите за икономическото изпълнение;</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Смекчаване на последиците от изменението на климата и приспособяване към него в рамките на икономическия анализ;</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Опростен икономически анализ в специални случаи.</a:t>
          </a:r>
        </a:p>
      </dsp:txBody>
      <dsp:txXfrm>
        <a:off x="1771275" y="3649074"/>
        <a:ext cx="6927439" cy="495249"/>
      </dsp:txXfrm>
    </dsp:sp>
    <dsp:sp modelId="{110E508D-0914-463A-8DBC-52D28A71D6EA}">
      <dsp:nvSpPr>
        <dsp:cNvPr id="0" name=""/>
        <dsp:cNvSpPr/>
      </dsp:nvSpPr>
      <dsp:spPr>
        <a:xfrm>
          <a:off x="0" y="3654350"/>
          <a:ext cx="1760841" cy="442428"/>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15240" rIns="30480" bIns="15240" numCol="1" spcCol="1270" anchor="ctr" anchorCtr="0">
          <a:noAutofit/>
        </a:bodyPr>
        <a:lstStyle/>
        <a:p>
          <a:pPr lvl="0" algn="ctr" defTabSz="355600">
            <a:lnSpc>
              <a:spcPct val="90000"/>
            </a:lnSpc>
            <a:spcBef>
              <a:spcPct val="0"/>
            </a:spcBef>
            <a:spcAft>
              <a:spcPct val="35000"/>
            </a:spcAft>
          </a:pPr>
          <a:r>
            <a:rPr lang="bg-BG" sz="800" kern="1200">
              <a:solidFill>
                <a:sysClr val="window" lastClr="FFFFFF"/>
              </a:solidFill>
              <a:latin typeface="Calibri"/>
              <a:ea typeface="+mn-ea"/>
              <a:cs typeface="+mn-cs"/>
            </a:rPr>
            <a:t>(6) Икономически анализ</a:t>
          </a:r>
        </a:p>
      </dsp:txBody>
      <dsp:txXfrm>
        <a:off x="21598" y="3675948"/>
        <a:ext cx="1717645" cy="399232"/>
      </dsp:txXfrm>
    </dsp:sp>
    <dsp:sp modelId="{06B3BE31-C2D4-483C-868F-2AA715D92221}">
      <dsp:nvSpPr>
        <dsp:cNvPr id="0" name=""/>
        <dsp:cNvSpPr/>
      </dsp:nvSpPr>
      <dsp:spPr>
        <a:xfrm>
          <a:off x="1771275" y="4239210"/>
          <a:ext cx="7175064" cy="566848"/>
        </a:xfrm>
        <a:prstGeom prst="rightArrow">
          <a:avLst>
            <a:gd name="adj1" fmla="val 75000"/>
            <a:gd name="adj2" fmla="val 50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Анализ на чувствителността;</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Качествен анализ на риска;</a:t>
          </a:r>
        </a:p>
        <a:p>
          <a:pPr marL="57150" lvl="1" indent="-57150" algn="l" defTabSz="400050">
            <a:lnSpc>
              <a:spcPct val="90000"/>
            </a:lnSpc>
            <a:spcBef>
              <a:spcPct val="0"/>
            </a:spcBef>
            <a:spcAft>
              <a:spcPct val="15000"/>
            </a:spcAft>
            <a:buChar char="••"/>
          </a:pPr>
          <a:endParaRPr lang="bg-BG" sz="900" kern="1200">
            <a:solidFill>
              <a:sysClr val="windowText" lastClr="000000">
                <a:hueOff val="0"/>
                <a:satOff val="0"/>
                <a:lumOff val="0"/>
                <a:alphaOff val="0"/>
              </a:sysClr>
            </a:solidFill>
            <a:latin typeface="Calibri"/>
            <a:ea typeface="+mn-ea"/>
            <a:cs typeface="+mn-cs"/>
          </a:endParaRPr>
        </a:p>
      </dsp:txBody>
      <dsp:txXfrm>
        <a:off x="1771275" y="4310066"/>
        <a:ext cx="6962496" cy="425136"/>
      </dsp:txXfrm>
    </dsp:sp>
    <dsp:sp modelId="{7DBF3A85-7EFB-48B9-8092-AEF96310D7D6}">
      <dsp:nvSpPr>
        <dsp:cNvPr id="0" name=""/>
        <dsp:cNvSpPr/>
      </dsp:nvSpPr>
      <dsp:spPr>
        <a:xfrm>
          <a:off x="0" y="4312184"/>
          <a:ext cx="1760841" cy="442428"/>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15240" rIns="30480" bIns="15240" numCol="1" spcCol="1270" anchor="ctr" anchorCtr="0">
          <a:noAutofit/>
        </a:bodyPr>
        <a:lstStyle/>
        <a:p>
          <a:pPr lvl="0" algn="ctr" defTabSz="355600">
            <a:lnSpc>
              <a:spcPct val="90000"/>
            </a:lnSpc>
            <a:spcBef>
              <a:spcPct val="0"/>
            </a:spcBef>
            <a:spcAft>
              <a:spcPct val="35000"/>
            </a:spcAft>
          </a:pPr>
          <a:r>
            <a:rPr lang="bg-BG" sz="800" kern="1200">
              <a:solidFill>
                <a:sysClr val="window" lastClr="FFFFFF"/>
              </a:solidFill>
              <a:latin typeface="Calibri"/>
              <a:ea typeface="+mn-ea"/>
              <a:cs typeface="+mn-cs"/>
            </a:rPr>
            <a:t>(7) Оценка на риска</a:t>
          </a:r>
        </a:p>
      </dsp:txBody>
      <dsp:txXfrm>
        <a:off x="21598" y="4333782"/>
        <a:ext cx="1717645" cy="399232"/>
      </dsp:txXfrm>
    </dsp:sp>
  </dsp:spTree>
</dsp:drawing>
</file>

<file path=word/diagrams/layout1.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2">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300EB7-B8EF-49AC-83F4-1D58593607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8944</TotalTime>
  <Pages>74</Pages>
  <Words>28852</Words>
  <Characters>164457</Characters>
  <Application>Microsoft Office Word</Application>
  <DocSecurity>0</DocSecurity>
  <Lines>1370</Lines>
  <Paragraphs>385</Paragraphs>
  <ScaleCrop>false</ScaleCrop>
  <HeadingPairs>
    <vt:vector size="2" baseType="variant">
      <vt:variant>
        <vt:lpstr>Title</vt:lpstr>
      </vt:variant>
      <vt:variant>
        <vt:i4>1</vt:i4>
      </vt:variant>
    </vt:vector>
  </HeadingPairs>
  <TitlesOfParts>
    <vt:vector size="1" baseType="lpstr">
      <vt:lpstr/>
    </vt:vector>
  </TitlesOfParts>
  <Company>MTITC</Company>
  <LinksUpToDate>false</LinksUpToDate>
  <CharactersWithSpaces>192924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Daniela Kalaydzhiyska-Ivanova</dc:creator>
  <cp:keywords/>
  <dc:description/>
  <cp:lastModifiedBy>Daniela Kalaydzhiyska-Ivanova</cp:lastModifiedBy>
  <cp:revision>59</cp:revision>
  <dcterms:created xsi:type="dcterms:W3CDTF">2023-10-24T14:00:00Z</dcterms:created>
  <dcterms:modified xsi:type="dcterms:W3CDTF">2023-12-06T14:34:00Z</dcterms:modified>
</cp:coreProperties>
</file>